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F2D3D"/>
          <w:sz w:val="38"/>
          <w:szCs w:val="38"/>
        </w:rPr>
        <w:t xml:space="preserve">Vitamin-B12-Mangelanämie</w:t>
      </w:r>
    </w:p>
    <w:p>
      <w:pPr>
        <w:spacing w:after="30"/>
      </w:pPr>
      <w:r>
        <w:rPr>
          <w:rFonts w:ascii="Arial" w:cs="Arial" w:eastAsia="Arial" w:hAnsi="Arial"/>
          <w:color w:val="55657A"/>
          <w:sz w:val="20"/>
          <w:szCs w:val="20"/>
        </w:rPr>
        <w:t xml:space="preserve">Gruppen-Handout  ·  GGW Blut – Anämie  ·  2. Fachsemester</w:t>
      </w:r>
    </w:p>
    <w:p>
      <w:pPr>
        <w:spacing w:after="200"/>
      </w:pPr>
      <w:r>
        <w:rPr>
          <w:rFonts w:ascii="Arial" w:cs="Arial" w:eastAsia="Arial" w:hAnsi="Arial"/>
          <w:color w:val="55657A"/>
          <w:sz w:val="19"/>
          <w:szCs w:val="19"/>
        </w:rPr>
        <w:t xml:space="preserve">Maximilian Schmutz  ·  Maximilian.Schmutz@uk-augsburg.de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tcBorders>
              <w:top w:val="single" w:color="C7D7EC" w:sz="4"/>
              <w:left w:val="single" w:color="C7D7EC" w:sz="4"/>
              <w:bottom w:val="single" w:color="C7D7EC" w:sz="4"/>
              <w:right w:val="single" w:color="C7D7EC" w:sz="4"/>
            </w:tcBorders>
            <w:shd w:fill="EAF1FB" w:color="auto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2E5496"/>
                <w:sz w:val="23"/>
                <w:szCs w:val="23"/>
              </w:rPr>
              <w:t xml:space="preserve">Auf einen Blick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2"/>
            </w:pPr>
            <w:r>
              <w:rPr>
                <w:rFonts w:ascii="Arial" w:cs="Arial" w:eastAsia="Arial" w:hAnsi="Arial"/>
                <w:color w:val="1F2D3D"/>
                <w:sz w:val="21"/>
                <w:szCs w:val="21"/>
              </w:rPr>
              <w:t xml:space="preserve">Megaloblastäre (makrozytäre) Anämie durch gestörte DNA-Synthese.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2"/>
            </w:pPr>
            <w:r>
              <w:rPr>
                <w:rFonts w:ascii="Arial" w:cs="Arial" w:eastAsia="Arial" w:hAnsi="Arial"/>
                <w:b/>
                <w:bCs/>
                <w:color w:val="1F2D3D"/>
                <w:sz w:val="21"/>
                <w:szCs w:val="21"/>
              </w:rPr>
              <w:t xml:space="preserve">Kernidee: </w:t>
            </w:r>
            <w:r>
              <w:rPr>
                <w:rFonts w:ascii="Arial" w:cs="Arial" w:eastAsia="Arial" w:hAnsi="Arial"/>
                <w:color w:val="1F2D3D"/>
                <w:sz w:val="21"/>
                <w:szCs w:val="21"/>
              </w:rPr>
              <w:t xml:space="preserve">Kern-Plasma-Reifestörung – die Zelle wächst, kann sich aber nicht teilen → zu große Zellen (Makrozyten).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2"/>
            </w:pPr>
            <w:r>
              <w:rPr>
                <w:rFonts w:ascii="Arial" w:cs="Arial" w:eastAsia="Arial" w:hAnsi="Arial"/>
                <w:b/>
                <w:bCs/>
                <w:color w:val="1F2D3D"/>
                <w:sz w:val="21"/>
                <w:szCs w:val="21"/>
              </w:rPr>
              <w:t xml:space="preserve">Besonderheit gegenüber allen anderen Anämieformen: </w:t>
            </w:r>
            <w:r>
              <w:rPr>
                <w:rFonts w:ascii="Arial" w:cs="Arial" w:eastAsia="Arial" w:hAnsi="Arial"/>
                <w:color w:val="1F2D3D"/>
                <w:sz w:val="21"/>
                <w:szCs w:val="21"/>
              </w:rPr>
              <w:t xml:space="preserve">kann Nerven schädigen (funikuläre Myelose).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72"/>
            </w:pPr>
            <w:r>
              <w:rPr>
                <w:rFonts w:ascii="Arial" w:cs="Arial" w:eastAsia="Arial" w:hAnsi="Arial"/>
                <w:b/>
                <w:bCs/>
                <w:color w:val="1F2D3D"/>
                <w:sz w:val="21"/>
                <w:szCs w:val="21"/>
              </w:rPr>
              <w:t xml:space="preserve">Leitbefunde: </w:t>
            </w:r>
            <w:r>
              <w:rPr>
                <w:rFonts w:ascii="Arial" w:cs="Arial" w:eastAsia="Arial" w:hAnsi="Arial"/>
                <w:color w:val="1F2D3D"/>
                <w:sz w:val="21"/>
                <w:szCs w:val="21"/>
              </w:rPr>
              <w:t xml:space="preserve">MCV ↑↑, Vitamin B12 ↓, hypersegmentierte Granulozyten, Zeichen ineffektiver Erythropoese (LDH ↑, indir. Bilirubin ↑, Haptoglobin ↓).</w:t>
            </w:r>
          </w:p>
        </w:tc>
      </w:tr>
    </w:tbl>
    <w:p>
      <w:pPr>
        <w:pBdr>
          <w:bottom w:val="single" w:color="2E5496" w:sz="6" w:space="3"/>
        </w:pBdr>
        <w:spacing w:after="150" w:before="320"/>
      </w:pPr>
      <w:r>
        <w:rPr>
          <w:rFonts w:ascii="Arial" w:cs="Arial" w:eastAsia="Arial" w:hAnsi="Arial"/>
          <w:b/>
          <w:bCs/>
          <w:color w:val="2E5496"/>
          <w:sz w:val="27"/>
          <w:szCs w:val="27"/>
        </w:rPr>
        <w:t xml:space="preserve">1   Die Abbildungen lesen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Zwei Schaubilder helfen beim Verständnis: das erste zeigt den Pathomechanismus (warum die Zellen zu groß werden), das zweite den Resorptionsweg von B12 und die Ursachen des Mangels.</w:t>
      </w:r>
    </w:p>
    <w:p>
      <w:pPr>
        <w:spacing w:after="60" w:before="80"/>
        <w:jc w:val="center"/>
      </w:pPr>
      <w:r>
        <w:drawing>
          <wp:inline distT="0" distB="0" distL="0" distR="0">
            <wp:extent cx="4991100" cy="3143250"/>
            <wp:effectExtent t="0" r="0" b="0" l="0"/>
            <wp:docPr id="1" name="Pathomechanismus der B12-Mangelanämie" descr="Pathomechanismus der B12-Mangelanämie" title="Pathomechanismus der B12-Mangelanäm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70"/>
        <w:jc w:val="center"/>
      </w:pPr>
      <w:r>
        <w:rPr>
          <w:rFonts w:ascii="Arial" w:cs="Arial" w:eastAsia="Arial" w:hAnsi="Arial"/>
          <w:i/>
          <w:iCs/>
          <w:color w:val="55657A"/>
          <w:sz w:val="17"/>
          <w:szCs w:val="17"/>
        </w:rPr>
        <w:t xml:space="preserve">Abbildung 1 – Pathomechanismus: von der gestörten DNA-Synthese zur makrozytären Anämie (eigene Darstellung).</w:t>
      </w:r>
    </w:p>
    <w:p>
      <w:pPr>
        <w:spacing w:after="80" w:before="0" w:line="280"/>
      </w:pPr>
      <w:r>
        <w:rPr>
          <w:rFonts w:ascii="Arial" w:cs="Arial" w:eastAsia="Arial" w:hAnsi="Arial"/>
          <w:b/>
          <w:bCs/>
          <w:color w:val="1F2D3D"/>
          <w:sz w:val="21"/>
          <w:szCs w:val="21"/>
        </w:rPr>
        <w:t xml:space="preserve">So liest man es: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B12 und Folsäure liefern Bausteine für die DNA-Synthese. Fehlen sie, kommt der Zellkern mit dem Teilen nicht hinterher, während das Zytoplasma normal reift – eine Kern-Plasma-Reifestörung. Es entstehen zu große Vorstufen (Megaloblasten); daraus werden einerseits zu große rote Zellen im Blut (MCV ↑), andererseits gehen viele schon im Knochenmark zugrunde (ineffektive Erythropoese) – mit LDH ↑, indir. Bilirubin ↑ und Haptoglobin ↓.</w:t>
      </w:r>
    </w:p>
    <w:p>
      <w:pPr>
        <w:spacing w:after="60" w:before="8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Resorptionsweg von Vitamin B12 und Ursachen" descr="Resorptionsweg von Vitamin B12 und Ursachen" title="Resorptionsweg von Vitamin B12 und Ursa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70"/>
        <w:jc w:val="center"/>
      </w:pPr>
      <w:r>
        <w:rPr>
          <w:rFonts w:ascii="Arial" w:cs="Arial" w:eastAsia="Arial" w:hAnsi="Arial"/>
          <w:i/>
          <w:iCs/>
          <w:color w:val="55657A"/>
          <w:sz w:val="17"/>
          <w:szCs w:val="17"/>
        </w:rPr>
        <w:t xml:space="preserve">Abbildung 2 – Resorptionsweg und Ursachen des B12-Mangels (eigene Darstellung).</w:t>
      </w:r>
    </w:p>
    <w:p>
      <w:pPr>
        <w:spacing w:after="80" w:before="0" w:line="280"/>
      </w:pPr>
      <w:r>
        <w:rPr>
          <w:rFonts w:ascii="Arial" w:cs="Arial" w:eastAsia="Arial" w:hAnsi="Arial"/>
          <w:b/>
          <w:bCs/>
          <w:color w:val="1F2D3D"/>
          <w:sz w:val="21"/>
          <w:szCs w:val="21"/>
        </w:rPr>
        <w:t xml:space="preserve">So liest man es: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B12 steckt fast nur in tierischer Nahrung. Im Magen bilden die Belegzellen den Intrinsic Factor (IF); nur als B12-IF-Komplex wird B12 ganz am Ende des Dünndarms (terminales Ileum) aufgenommen. Die Leber speichert B12 für Jahre – deshalb entwickelt sich ein Mangel langsam. Die roten Kästen zeigen die drei typischen Störstellen: fehlender IF (perniziöse Anämie, IF-AK +), erkranktes/entferntes Ileum (M. Crohn, Resektion) und – seltener – vegane Ernährung.</w:t>
      </w:r>
    </w:p>
    <w:p>
      <w:pPr>
        <w:pBdr>
          <w:bottom w:val="single" w:color="2E5496" w:sz="6" w:space="3"/>
        </w:pBdr>
        <w:spacing w:after="150" w:before="320"/>
      </w:pPr>
      <w:r>
        <w:rPr>
          <w:rFonts w:ascii="Arial" w:cs="Arial" w:eastAsia="Arial" w:hAnsi="Arial"/>
          <w:b/>
          <w:bCs/>
          <w:color w:val="2E5496"/>
          <w:sz w:val="27"/>
          <w:szCs w:val="27"/>
        </w:rPr>
        <w:t xml:space="preserve">2   Pathophysiologie</w:t>
      </w:r>
    </w:p>
    <w:p>
      <w:pPr>
        <w:spacing w:after="90" w:before="180"/>
      </w:pPr>
      <w:r>
        <w:rPr>
          <w:rFonts w:ascii="Arial" w:cs="Arial" w:eastAsia="Arial" w:hAnsi="Arial"/>
          <w:b/>
          <w:bCs/>
          <w:color w:val="2E5496"/>
          <w:sz w:val="22"/>
          <w:szCs w:val="22"/>
        </w:rPr>
        <w:t xml:space="preserve">2.1   Vitamin B12 und Folsäure – Bausteine der Zellteilung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Beide Vitamine werden für die DNA-Synthese gebraucht – sie liefern die Bausteine, damit eine Zelle ihr Erbgut verdoppeln und sich teilen kann. Betroffen sind deshalb vor allem Gewebe mit schneller Zellteilung, allen voran die Blutbildung im Knochenmark.</w:t>
      </w:r>
    </w:p>
    <w:p>
      <w:pPr>
        <w:spacing w:after="90" w:before="180"/>
      </w:pPr>
      <w:r>
        <w:rPr>
          <w:rFonts w:ascii="Arial" w:cs="Arial" w:eastAsia="Arial" w:hAnsi="Arial"/>
          <w:b/>
          <w:bCs/>
          <w:color w:val="2E5496"/>
          <w:sz w:val="22"/>
          <w:szCs w:val="22"/>
        </w:rPr>
        <w:t xml:space="preserve">2.2   Die Kern-Plasma-Reifestörung – warum die Zellen zu groß werden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Fehlt B12 (oder Folsäure), kann die DNA nicht mehr richtig nachgebaut werden – der Zellkern kommt mit dem Teilen nicht hinterher. Das Zytoplasma reift jedoch ganz normal weiter. Es entsteht ein Missverhältnis: Die Zelle wächst, aber sie teilt sich nicht. Das Ergebnis sind zu große Vorläuferzellen, die Megaloblasten, und daraus zu große rote Blutkörperchen – die Makrozyten (MCV ↑). Weil alle schnell teilenden Zellen betroffen sind, finden sich oft auch leicht verminderte Leukozyten und Thrombozyten (milde Panzytopenie) und ein typisches Zeichen im Ausstrich: übersegmentierte (überreife) Granulozyten.</w:t>
      </w:r>
    </w:p>
    <w:p>
      <w:pPr>
        <w:spacing w:after="90" w:before="180"/>
      </w:pPr>
      <w:r>
        <w:rPr>
          <w:rFonts w:ascii="Arial" w:cs="Arial" w:eastAsia="Arial" w:hAnsi="Arial"/>
          <w:b/>
          <w:bCs/>
          <w:color w:val="2E5496"/>
          <w:sz w:val="22"/>
          <w:szCs w:val="22"/>
        </w:rPr>
        <w:t xml:space="preserve">2.3   Ineffektive Erythropoese – die „Hämolyse im Mark“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Viele der fehlgebauten Megaloblasten gehen schon im Knochenmark zugrunde, bevor sie ins Blut gelangen – eine ineffektive Erythropoese, im Grunde eine Hämolyse, die im Mark stattfindet. Im Labor sieht das genau danach aus: LDH stark erhöht, indirektes Bilirubin erhöht, Haptoglobin erniedrigt. Und obwohl eine Anämie besteht, sind die Retikulozyten niedrig – das Mark produziert eben nicht effektiv.</w:t>
      </w:r>
    </w:p>
    <w:p>
      <w:pPr>
        <w:spacing w:after="90" w:before="180"/>
      </w:pPr>
      <w:r>
        <w:rPr>
          <w:rFonts w:ascii="Arial" w:cs="Arial" w:eastAsia="Arial" w:hAnsi="Arial"/>
          <w:b/>
          <w:bCs/>
          <w:color w:val="2E5496"/>
          <w:sz w:val="22"/>
          <w:szCs w:val="22"/>
        </w:rPr>
        <w:t xml:space="preserve">2.4   Wie wird B12 aufgenommen? Intrinsic Factor und die Ursachen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Die Aufnahme von B12 ist erstaunlich aufwendig (siehe Abbildung 2): B12 aus tierischer Nahrung bindet im Magen an den Intrinsic Factor (IF) aus den Belegzellen; nur dieser Komplex wird im terminalen Ileum aufgenommen. Daraus ergeben sich direkt die Ursachen: fehlender IF (perniziöse Anämie – eine Autoimmunerkrankung mit Zerstörung der Belegzellen und nachweisbaren IF-Antikörpern), ein erkranktes oder entferntes terminales Ileum (M. Crohn, Resektion) und – seltener – eine rein pflanzliche Ernährung. Wichtig: Die Leber speichert B12 über Jahre, sodass sich ein Mangel sehr langsam entwickelt.</w:t>
      </w:r>
    </w:p>
    <w:p>
      <w:pPr>
        <w:spacing w:after="90" w:before="180"/>
      </w:pPr>
      <w:r>
        <w:rPr>
          <w:rFonts w:ascii="Arial" w:cs="Arial" w:eastAsia="Arial" w:hAnsi="Arial"/>
          <w:b/>
          <w:bCs/>
          <w:color w:val="2E5496"/>
          <w:sz w:val="22"/>
          <w:szCs w:val="22"/>
        </w:rPr>
        <w:t xml:space="preserve">2.5   Die Neurologie – funikuläre Myelose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B12 wird nicht nur für die Blutbildung, sondern auch für die Myelinscheiden der Nerven gebraucht. Bei Mangel entsteht die funikuläre Myelose (Schädigung von Hinter- und Seitensträngen des Rückenmarks): Kribbeln, Taubheitsgefühl, Gangunsicherheit und ein gestörtes Lagegefühl. Diese neurologische Beteiligung ist das Alleinstellungsmerkmal des B12-Mangels – ein Folsäuremangel macht sie nicht.</w:t>
      </w:r>
    </w:p>
    <w:p>
      <w:pPr>
        <w:spacing w:after="90" w:before="180"/>
      </w:pPr>
      <w:r>
        <w:rPr>
          <w:rFonts w:ascii="Arial" w:cs="Arial" w:eastAsia="Arial" w:hAnsi="Arial"/>
          <w:b/>
          <w:bCs/>
          <w:color w:val="2E5496"/>
          <w:sz w:val="22"/>
          <w:szCs w:val="22"/>
        </w:rPr>
        <w:t xml:space="preserve">2.6   B12 vs. Folsäure – die gefährliche Falle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b/>
          <w:bCs/>
          <w:color w:val="1F2D3D"/>
          <w:sz w:val="21"/>
          <w:szCs w:val="21"/>
        </w:rPr>
        <w:t xml:space="preserve">Ein Folsäuremangel verursacht dieselbe megaloblastäre Anämie – aber keine Nervenschäden.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Daraus folgt eine gefährliche Falle: Gibt man bei unklarer makrozytärer Anämie einfach Folsäure, bessert sich zwar das Blutbild, ein übersehener B12-Mangel schädigt die Nerven aber weiter. Deshalb gilt: bei makrozytärer Anämie immer das B12 mitbestimmen. Sicher unterscheiden lässt sich beides über die Methylmalonsäure (MMA): Sie ist nur beim B12-Mangel erhöht, beim reinen Folsäuremangel normal. Homocystein ist bei beiden erhöht.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Warum ist die Methylmalonsäure so ein verlässlicher Marker? B12 ist Cofaktor für genau zwei Reaktionen (Abbildung 3). In der ersten wandelt die Methylmalonyl-CoA-Mutase Methylmalonyl-CoA in Succinyl-CoA um; fehlt B12, staut sich Methylmalonsäure (MMA) an – das passiert nur beim B12-Mangel, weil Folsäure hier nicht beteiligt ist. In der zweiten überträgt die Methionin-Synthase eine Methylgruppe von 5-Methyl-THF auf Homocystein, das dabei zu Methionin wird; fehlt B12, steigt Homocystein (das aber auch bei Folsäuremangel) – und das Folat bleibt als 5-Methyl-THF gefangen (Methylfolat-Falle), wodurch die DNA-Synthese stockt. Das erklärt zugleich, warum ein B12-Mangel im Blutbild dieselbe megaloblastäre Veränderung macht wie ein Folsäuremangel.</w:t>
      </w:r>
    </w:p>
    <w:p>
      <w:pPr>
        <w:spacing w:after="60" w:before="80"/>
        <w:jc w:val="center"/>
      </w:pPr>
      <w:r>
        <w:drawing>
          <wp:inline distT="0" distB="0" distL="0" distR="0">
            <wp:extent cx="5715000" cy="3248025"/>
            <wp:effectExtent t="0" r="0" b="0" l="0"/>
            <wp:docPr id="1" name="Die zwei B12-abhängigen Reaktionen: MMA und Homocystein" descr="Die zwei B12-abhängigen Reaktionen: MMA und Homocystein" title="Die zwei B12-abhängigen Reaktionen: MMA und Homocy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70"/>
        <w:jc w:val="center"/>
      </w:pPr>
      <w:r>
        <w:rPr>
          <w:rFonts w:ascii="Arial" w:cs="Arial" w:eastAsia="Arial" w:hAnsi="Arial"/>
          <w:i/>
          <w:iCs/>
          <w:color w:val="55657A"/>
          <w:sz w:val="17"/>
          <w:szCs w:val="17"/>
        </w:rPr>
        <w:t xml:space="preserve">Abbildung 3 – Die zwei B12-abhängigen Reaktionen. Links entsteht bei Block die Methylmalonsäure (nur B12), rechts steigt Homocystein (B12 und Folsäure) und es kommt zur Methylfolat-Falle (eigene Darstellung).</w:t>
      </w:r>
    </w:p>
    <w:p>
      <w:pPr>
        <w:spacing w:after="90" w:before="180"/>
      </w:pPr>
      <w:r>
        <w:rPr>
          <w:rFonts w:ascii="Arial" w:cs="Arial" w:eastAsia="Arial" w:hAnsi="Arial"/>
          <w:b/>
          <w:bCs/>
          <w:color w:val="2E5496"/>
          <w:sz w:val="22"/>
          <w:szCs w:val="22"/>
        </w:rPr>
        <w:t xml:space="preserve">2.7   Zusammenfassung – der MCV-Kompass</w:t>
      </w:r>
    </w:p>
    <w:p>
      <w:pPr>
        <w:spacing w:after="14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Ein einziger Wert verbindet alle drei Anämieformen der Sitzung: das MCV. Mikrozytär (klein) → Eisenmangel; normozytär → Anämie der chronischen Erkrankung; makrozytär (groß) → B12- oder Folsäuremangel. Beim B12-Mangel kommen zwei Dinge hinzu, die ihn unverkennbar machen: die Zeichen der ineffektiven Erythropoese und – einzigartig – die neurologischen Symptome.</w:t>
      </w:r>
    </w:p>
    <w:p>
      <w:pPr>
        <w:pBdr>
          <w:bottom w:val="single" w:color="2E5496" w:sz="6" w:space="3"/>
        </w:pBdr>
        <w:spacing w:after="150" w:before="320"/>
      </w:pPr>
      <w:r>
        <w:rPr>
          <w:rFonts w:ascii="Arial" w:cs="Arial" w:eastAsia="Arial" w:hAnsi="Arial"/>
          <w:b/>
          <w:bCs/>
          <w:color w:val="2E5496"/>
          <w:sz w:val="27"/>
          <w:szCs w:val="27"/>
        </w:rPr>
        <w:t xml:space="preserve">3   Typisches Blutbild &amp; weitere Diagnostik</w:t>
      </w:r>
    </w:p>
    <w:p>
      <w:pPr>
        <w:spacing w:after="120" w:before="0" w:line="278"/>
        <w:jc w:val="left"/>
      </w:pPr>
      <w:r>
        <w:rPr>
          <w:rFonts w:ascii="Arial" w:cs="Arial" w:eastAsia="Arial" w:hAnsi="Arial"/>
          <w:color w:val="1F2D3D"/>
          <w:sz w:val="21"/>
          <w:szCs w:val="21"/>
        </w:rPr>
        <w:t xml:space="preserve">Charakteristisch ist eine makrozytäre Anämie mit Zeichen der ineffektiven Erythropoese: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400"/>
        <w:gridCol w:w="4446"/>
      </w:tblGrid>
      <w:tr>
        <w:trPr>
          <w:cantSplit/>
          <w:tblHeader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2E5496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Parameter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2E5496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Befund bei B12-Mangel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2E5496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Kurzkommentar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Hämoglobin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↓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je nach Schweregrad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MCV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FF6E0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↑↑ (makrozytär)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FF6E0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zu große Zellen – der Leitbefund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MCH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viel Hämoglobin pro (großer) Zelle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Erythrozyten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↓↓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wenige, aber große Zellen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RDW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ungleich große Zellen (Anisozytose)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Retikulozyten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↓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inadäquat niedrig (ineffektiv)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Leuko-/Thrombozyten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oft ↓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milde Panzytopenie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Ausstrich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Makro-/Megalozyten, hypersegm. Granulozyten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typische Morphologie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Vitamin B12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FF6E0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↓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FF6E0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erniedrigt; ggf. Holo-Transcobalamin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Methylmalonsäure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spezifisch für B12-Mangel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Homocystein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bei B12- und Folsäuremangel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LDH / indir. Bilirubin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ineffektive Erythropoese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Haptoglobin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↓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intramedulläre Hämolyse</w:t>
            </w:r>
          </w:p>
        </w:tc>
      </w:tr>
      <w:tr>
        <w:trPr>
          <w:cantSplit/>
          <w:tblHeader w:val="false"/>
        </w:trPr>
        <w:tc>
          <w:tcPr>
            <w:tcW w:type="dxa" w:w="29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Intrinsic-Factor-AK</w:t>
            </w:r>
          </w:p>
        </w:tc>
        <w:tc>
          <w:tcPr>
            <w:tcW w:type="dxa" w:w="24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positiv</w:t>
            </w:r>
          </w:p>
        </w:tc>
        <w:tc>
          <w:tcPr>
            <w:tcW w:type="dxa" w:w="44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bei perniziöser Anämie</w:t>
            </w:r>
          </w:p>
        </w:tc>
      </w:tr>
    </w:tbl>
    <w:p>
      <w:pPr>
        <w:pBdr>
          <w:bottom w:val="single" w:color="2E5496" w:sz="6" w:space="3"/>
        </w:pBdr>
        <w:spacing w:after="150" w:before="320"/>
      </w:pPr>
      <w:r>
        <w:rPr>
          <w:rFonts w:ascii="Arial" w:cs="Arial" w:eastAsia="Arial" w:hAnsi="Arial"/>
          <w:b/>
          <w:bCs/>
          <w:color w:val="2E5496"/>
          <w:sz w:val="27"/>
          <w:szCs w:val="27"/>
        </w:rPr>
        <w:t xml:space="preserve">4   Der diagnostische Schlüssel: B12- vs. Folsäuremangel</w:t>
      </w:r>
    </w:p>
    <w:p>
      <w:pPr>
        <w:spacing w:after="120" w:before="0" w:line="278"/>
        <w:jc w:val="left"/>
      </w:pPr>
      <w:r>
        <w:rPr>
          <w:rFonts w:ascii="Arial" w:cs="Arial" w:eastAsia="Arial" w:hAnsi="Arial"/>
          <w:b/>
          <w:bCs/>
          <w:color w:val="1F2D3D"/>
          <w:sz w:val="21"/>
          <w:szCs w:val="21"/>
        </w:rPr>
        <w:t xml:space="preserve">Beide machen eine makrozytäre Anämie – Methylmalonsäure und die Neurologie trennen sie.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Das ist der wichtigste Punkt für die Abstimmungsfrage.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46"/>
        <w:gridCol w:w="3300"/>
        <w:gridCol w:w="3300"/>
      </w:tblGrid>
      <w:tr>
        <w:trPr>
          <w:cantSplit/>
          <w:tblHeader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2E5496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Parameter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2E5496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Vitamin-B12-Mangel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2E5496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Folsäuremangel</w:t>
            </w:r>
          </w:p>
        </w:tc>
      </w:tr>
      <w:tr>
        <w:trPr>
          <w:cantSplit/>
          <w:tblHeader w:val="false"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MCV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 (makrozytär)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 (makrozytär)</w:t>
            </w:r>
          </w:p>
        </w:tc>
      </w:tr>
      <w:tr>
        <w:trPr>
          <w:cantSplit/>
          <w:tblHeader w:val="false"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Vitamin B12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↓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normal</w:t>
            </w:r>
          </w:p>
        </w:tc>
      </w:tr>
      <w:tr>
        <w:trPr>
          <w:cantSplit/>
          <w:tblHeader w:val="false"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Folsäure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normal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↓</w:t>
            </w:r>
          </w:p>
        </w:tc>
      </w:tr>
      <w:tr>
        <w:trPr>
          <w:cantSplit/>
          <w:tblHeader w:val="false"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Methylmalonsäure (MMA)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CEAE0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↑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E8F0E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normal</w:t>
            </w:r>
          </w:p>
        </w:tc>
      </w:tr>
      <w:tr>
        <w:trPr>
          <w:cantSplit/>
          <w:tblHeader w:val="false"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Homocystein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color w:val="1F2D3D"/>
                <w:sz w:val="20"/>
                <w:szCs w:val="20"/>
              </w:rPr>
              <w:t xml:space="preserve">↑</w:t>
            </w:r>
          </w:p>
        </w:tc>
      </w:tr>
      <w:tr>
        <w:trPr>
          <w:cantSplit/>
          <w:tblHeader w:val="false"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4F8FB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Neurologie (funik. Myelose)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FCEAE0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ja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shd w:fill="E8F0E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nein</w:t>
            </w:r>
          </w:p>
        </w:tc>
      </w:tr>
      <w:tr>
        <w:trPr>
          <w:cantSplit/>
          <w:tblHeader w:val="false"/>
        </w:trPr>
        <w:tc>
          <w:tcPr>
            <w:tcW w:type="dxa" w:w="3146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Grundidee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B12 fehlt</w:t>
            </w:r>
          </w:p>
        </w:tc>
        <w:tc>
          <w:tcPr>
            <w:tcW w:type="dxa" w:w="3300"/>
            <w:tcBorders>
              <w:top w:val="single" w:color="B7C2D0" w:sz="4"/>
              <w:left w:val="single" w:color="B7C2D0" w:sz="4"/>
              <w:bottom w:val="single" w:color="B7C2D0" w:sz="4"/>
              <w:right w:val="single" w:color="B7C2D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  <w:jc w:val="left"/>
            </w:pPr>
            <w:r>
              <w:rPr>
                <w:rFonts w:ascii="Arial" w:cs="Arial" w:eastAsia="Arial" w:hAnsi="Arial"/>
                <w:b/>
                <w:bCs/>
                <w:color w:val="1F2D3D"/>
                <w:sz w:val="20"/>
                <w:szCs w:val="20"/>
              </w:rPr>
              <w:t xml:space="preserve">Folsäure fehlt</w:t>
            </w:r>
          </w:p>
        </w:tc>
      </w:tr>
    </w:tbl>
    <w:p>
      <w:pPr>
        <w:spacing w:after="140" w:before="120" w:line="278"/>
        <w:jc w:val="left"/>
      </w:pPr>
      <w:r>
        <w:rPr>
          <w:rFonts w:ascii="Arial" w:cs="Arial" w:eastAsia="Arial" w:hAnsi="Arial"/>
          <w:b/>
          <w:bCs/>
          <w:color w:val="2E5496"/>
          <w:sz w:val="21"/>
          <w:szCs w:val="21"/>
        </w:rPr>
        <w:t xml:space="preserve">Einprägen: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makrozytär + Neurologie = B12-Mangel; die MMA trennt sicher von der Folsäure.</w:t>
      </w:r>
    </w:p>
    <w:p>
      <w:pPr>
        <w:pBdr>
          <w:bottom w:val="single" w:color="2E5496" w:sz="6" w:space="3"/>
        </w:pBdr>
        <w:spacing w:after="150" w:before="320"/>
      </w:pPr>
      <w:r>
        <w:rPr>
          <w:rFonts w:ascii="Arial" w:cs="Arial" w:eastAsia="Arial" w:hAnsi="Arial"/>
          <w:b/>
          <w:bCs/>
          <w:color w:val="2E5496"/>
          <w:sz w:val="27"/>
          <w:szCs w:val="27"/>
        </w:rPr>
        <w:t xml:space="preserve">5   Reserve-Wissen für Rückfragen</w:t>
      </w:r>
    </w:p>
    <w:p>
      <w:pPr>
        <w:pStyle w:val="ListParagraph"/>
        <w:numPr>
          <w:ilvl w:val="0"/>
          <w:numId w:val="2"/>
        </w:numPr>
        <w:spacing w:after="80" w:line="272"/>
      </w:pPr>
      <w:r>
        <w:rPr>
          <w:rFonts w:ascii="Arial" w:cs="Arial" w:eastAsia="Arial" w:hAnsi="Arial"/>
          <w:b/>
          <w:bCs/>
          <w:color w:val="1F2D3D"/>
          <w:sz w:val="21"/>
          <w:szCs w:val="21"/>
        </w:rPr>
        <w:t xml:space="preserve">Therapie: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B12-Substitution – bei perniziöser Anämie und Resorptionsstörungen parenteral (i. m.), weil B12 ohne Intrinsic Factor nicht aufgenommen wird. Ansprechen: Retikulozytenanstieg nach ~1 Woche. Bei Therapiestart Kalium kontrollieren (die rasch einsetzende Zellbildung kann es senken).</w:t>
      </w:r>
    </w:p>
    <w:p>
      <w:pPr>
        <w:pStyle w:val="ListParagraph"/>
        <w:numPr>
          <w:ilvl w:val="0"/>
          <w:numId w:val="2"/>
        </w:numPr>
        <w:spacing w:after="80" w:line="272"/>
      </w:pPr>
      <w:r>
        <w:rPr>
          <w:rFonts w:ascii="Arial" w:cs="Arial" w:eastAsia="Arial" w:hAnsi="Arial"/>
          <w:b/>
          <w:bCs/>
          <w:color w:val="1F2D3D"/>
          <w:sz w:val="21"/>
          <w:szCs w:val="21"/>
        </w:rPr>
        <w:t xml:space="preserve">Folsäure-Falle: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nie Folsäure allein bei makrozytärer Anämie geben, ohne den B12-Status zu kennen – sonst schreitet eine übersehene Nervenschädigung fort.</w:t>
      </w:r>
    </w:p>
    <w:p>
      <w:pPr>
        <w:pStyle w:val="ListParagraph"/>
        <w:numPr>
          <w:ilvl w:val="0"/>
          <w:numId w:val="2"/>
        </w:numPr>
        <w:spacing w:after="80" w:line="272"/>
      </w:pPr>
      <w:r>
        <w:rPr>
          <w:rFonts w:ascii="Arial" w:cs="Arial" w:eastAsia="Arial" w:hAnsi="Arial"/>
          <w:b/>
          <w:bCs/>
          <w:color w:val="1F2D3D"/>
          <w:sz w:val="21"/>
          <w:szCs w:val="21"/>
        </w:rPr>
        <w:t xml:space="preserve">Perniziöse Anämie: </w:t>
      </w:r>
      <w:r>
        <w:rPr>
          <w:rFonts w:ascii="Arial" w:cs="Arial" w:eastAsia="Arial" w:hAnsi="Arial"/>
          <w:color w:val="1F2D3D"/>
          <w:sz w:val="21"/>
          <w:szCs w:val="21"/>
        </w:rPr>
        <w:t xml:space="preserve">autoimmun, oft mit weiteren Autoimmunerkrankungen (Hashimoto, Vitiligo, Typ-1-Diabetes). Die zugrunde liegende atrophische Gastritis erhöht langfristig das Magenkarzinom-Risiko – Verlaufskontrolle.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5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40" w:hanging="25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D3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a98b1107af5e2491d54a7739eefcc575e7a7b07.png"/><Relationship Id="rId8" Type="http://schemas.openxmlformats.org/officeDocument/2006/relationships/image" Target="media/57650c56653fa707d6e975699d54de0fa37e91ed.png"/><Relationship Id="rId9" Type="http://schemas.openxmlformats.org/officeDocument/2006/relationships/image" Target="media/881b2df83a102032789f46318a2671e47897b21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2026-06-30T22:10:03.651Z</dcterms:created>
  <dcterms:modified xsi:type="dcterms:W3CDTF">2026-06-30T22:10:03.662Z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