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57B810A" w14:textId="77777777" w:rsidR="0043636D" w:rsidRDefault="00000000">
      <w:pPr>
        <w:spacing w:after="40"/>
      </w:pPr>
      <w:r>
        <w:rPr>
          <w:b/>
          <w:bCs/>
          <w:sz w:val="38"/>
          <w:szCs w:val="38"/>
        </w:rPr>
        <w:t>Anämie der chronischen Erkrankung (ACD)</w:t>
      </w:r>
    </w:p>
    <w:p w14:paraId="5E121B1F" w14:textId="77777777" w:rsidR="0043636D" w:rsidRDefault="00000000">
      <w:pPr>
        <w:spacing w:after="30"/>
      </w:pPr>
      <w:r>
        <w:rPr>
          <w:color w:val="55657A"/>
          <w:sz w:val="20"/>
          <w:szCs w:val="20"/>
        </w:rPr>
        <w:t>Gruppen-</w:t>
      </w:r>
      <w:proofErr w:type="gramStart"/>
      <w:r>
        <w:rPr>
          <w:color w:val="55657A"/>
          <w:sz w:val="20"/>
          <w:szCs w:val="20"/>
        </w:rPr>
        <w:t>Handout  ·</w:t>
      </w:r>
      <w:proofErr w:type="gramEnd"/>
      <w:r>
        <w:rPr>
          <w:color w:val="55657A"/>
          <w:sz w:val="20"/>
          <w:szCs w:val="20"/>
        </w:rPr>
        <w:t xml:space="preserve">  GGW Blut – </w:t>
      </w:r>
      <w:proofErr w:type="gramStart"/>
      <w:r>
        <w:rPr>
          <w:color w:val="55657A"/>
          <w:sz w:val="20"/>
          <w:szCs w:val="20"/>
        </w:rPr>
        <w:t>Anämie  ·</w:t>
      </w:r>
      <w:proofErr w:type="gramEnd"/>
      <w:r>
        <w:rPr>
          <w:color w:val="55657A"/>
          <w:sz w:val="20"/>
          <w:szCs w:val="20"/>
        </w:rPr>
        <w:t xml:space="preserve">  2. Fachsemester</w:t>
      </w:r>
    </w:p>
    <w:p w14:paraId="77A760D4" w14:textId="77777777" w:rsidR="0043636D" w:rsidRDefault="00000000">
      <w:pPr>
        <w:spacing w:after="200"/>
      </w:pPr>
      <w:r>
        <w:rPr>
          <w:color w:val="55657A"/>
          <w:sz w:val="19"/>
          <w:szCs w:val="19"/>
        </w:rPr>
        <w:t xml:space="preserve">Maximilian </w:t>
      </w:r>
      <w:proofErr w:type="gramStart"/>
      <w:r>
        <w:rPr>
          <w:color w:val="55657A"/>
          <w:sz w:val="19"/>
          <w:szCs w:val="19"/>
        </w:rPr>
        <w:t>Schmutz  ·</w:t>
      </w:r>
      <w:proofErr w:type="gramEnd"/>
      <w:r>
        <w:rPr>
          <w:color w:val="55657A"/>
          <w:sz w:val="19"/>
          <w:szCs w:val="19"/>
        </w:rPr>
        <w:t xml:space="preserve">  Maximilian.Schmutz@uk-augsburg.de</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746"/>
      </w:tblGrid>
      <w:tr w:rsidR="0043636D" w14:paraId="4BB0BF9A" w14:textId="77777777">
        <w:tblPrEx>
          <w:tblCellMar>
            <w:top w:w="0" w:type="dxa"/>
            <w:bottom w:w="0" w:type="dxa"/>
          </w:tblCellMar>
        </w:tblPrEx>
        <w:tc>
          <w:tcPr>
            <w:tcW w:w="9746" w:type="dxa"/>
            <w:tcBorders>
              <w:top w:val="single" w:sz="4" w:space="0" w:color="C7D7EC"/>
              <w:left w:val="single" w:sz="4" w:space="0" w:color="C7D7EC"/>
              <w:bottom w:val="single" w:sz="4" w:space="0" w:color="C7D7EC"/>
              <w:right w:val="single" w:sz="4" w:space="0" w:color="C7D7EC"/>
            </w:tcBorders>
            <w:shd w:val="clear" w:color="auto" w:fill="EAF1FB"/>
            <w:tcMar>
              <w:top w:w="130" w:type="dxa"/>
              <w:left w:w="170" w:type="dxa"/>
              <w:bottom w:w="130" w:type="dxa"/>
              <w:right w:w="170" w:type="dxa"/>
            </w:tcMar>
          </w:tcPr>
          <w:p w14:paraId="6B3AACC9" w14:textId="77777777" w:rsidR="0043636D" w:rsidRDefault="00000000">
            <w:pPr>
              <w:spacing w:after="90"/>
            </w:pPr>
            <w:r>
              <w:rPr>
                <w:b/>
                <w:bCs/>
                <w:color w:val="2E5496"/>
                <w:sz w:val="23"/>
                <w:szCs w:val="23"/>
              </w:rPr>
              <w:t>Auf einen Blick</w:t>
            </w:r>
          </w:p>
          <w:p w14:paraId="450379F4" w14:textId="77777777" w:rsidR="0043636D" w:rsidRDefault="00000000">
            <w:pPr>
              <w:pStyle w:val="Listenabsatz"/>
              <w:numPr>
                <w:ilvl w:val="0"/>
                <w:numId w:val="2"/>
              </w:numPr>
              <w:spacing w:after="80" w:line="272" w:lineRule="auto"/>
            </w:pPr>
            <w:r>
              <w:t xml:space="preserve">Zweithäufigste </w:t>
            </w:r>
            <w:proofErr w:type="spellStart"/>
            <w:r>
              <w:t>Anämieform</w:t>
            </w:r>
            <w:proofErr w:type="spellEnd"/>
            <w:r>
              <w:t xml:space="preserve"> nach der Eisenmangelanämie.</w:t>
            </w:r>
          </w:p>
          <w:p w14:paraId="316A64E0" w14:textId="77777777" w:rsidR="0043636D" w:rsidRDefault="00000000">
            <w:pPr>
              <w:pStyle w:val="Listenabsatz"/>
              <w:numPr>
                <w:ilvl w:val="0"/>
                <w:numId w:val="2"/>
              </w:numPr>
              <w:spacing w:after="80" w:line="272" w:lineRule="auto"/>
            </w:pPr>
            <w:r>
              <w:t>Tritt bei länger bestehender Entzündung auf: chronische Infektionen, Autoimmunerkrankungen, Tumorerkrankungen.</w:t>
            </w:r>
          </w:p>
          <w:p w14:paraId="59ACBA0B" w14:textId="77777777" w:rsidR="0043636D" w:rsidRDefault="00000000">
            <w:pPr>
              <w:pStyle w:val="Listenabsatz"/>
              <w:numPr>
                <w:ilvl w:val="0"/>
                <w:numId w:val="2"/>
              </w:numPr>
              <w:spacing w:after="80" w:line="272" w:lineRule="auto"/>
            </w:pPr>
            <w:r>
              <w:rPr>
                <w:b/>
                <w:bCs/>
              </w:rPr>
              <w:t xml:space="preserve">Kernidee: </w:t>
            </w:r>
            <w:r>
              <w:t>Dem Körper fehlt das Eisen nicht – es ist vorhanden, wird aber „weggesperrt“ (funktioneller Eisenmangel).</w:t>
            </w:r>
          </w:p>
          <w:p w14:paraId="526A1B93" w14:textId="77777777" w:rsidR="0043636D" w:rsidRDefault="00000000">
            <w:pPr>
              <w:pStyle w:val="Listenabsatz"/>
              <w:numPr>
                <w:ilvl w:val="0"/>
                <w:numId w:val="2"/>
              </w:numPr>
              <w:spacing w:line="272" w:lineRule="auto"/>
            </w:pPr>
            <w:r>
              <w:rPr>
                <w:b/>
                <w:bCs/>
              </w:rPr>
              <w:t xml:space="preserve">Synonyme: </w:t>
            </w:r>
            <w:r>
              <w:t xml:space="preserve">Entzündungsanämie, </w:t>
            </w:r>
            <w:proofErr w:type="spellStart"/>
            <w:r>
              <w:t>anemia</w:t>
            </w:r>
            <w:proofErr w:type="spellEnd"/>
            <w:r>
              <w:t xml:space="preserve"> </w:t>
            </w:r>
            <w:proofErr w:type="spellStart"/>
            <w:r>
              <w:t>of</w:t>
            </w:r>
            <w:proofErr w:type="spellEnd"/>
            <w:r>
              <w:t xml:space="preserve"> </w:t>
            </w:r>
            <w:proofErr w:type="spellStart"/>
            <w:r>
              <w:t>inflammation</w:t>
            </w:r>
            <w:proofErr w:type="spellEnd"/>
            <w:r>
              <w:t xml:space="preserve">, </w:t>
            </w:r>
            <w:proofErr w:type="spellStart"/>
            <w:r>
              <w:t>anemia</w:t>
            </w:r>
            <w:proofErr w:type="spellEnd"/>
            <w:r>
              <w:t xml:space="preserve"> </w:t>
            </w:r>
            <w:proofErr w:type="spellStart"/>
            <w:r>
              <w:t>of</w:t>
            </w:r>
            <w:proofErr w:type="spellEnd"/>
            <w:r>
              <w:t xml:space="preserve"> </w:t>
            </w:r>
            <w:proofErr w:type="spellStart"/>
            <w:r>
              <w:t>chronic</w:t>
            </w:r>
            <w:proofErr w:type="spellEnd"/>
            <w:r>
              <w:t xml:space="preserve"> </w:t>
            </w:r>
            <w:proofErr w:type="spellStart"/>
            <w:r>
              <w:t>disease</w:t>
            </w:r>
            <w:proofErr w:type="spellEnd"/>
            <w:r>
              <w:t xml:space="preserve"> (ACD).</w:t>
            </w:r>
          </w:p>
        </w:tc>
      </w:tr>
    </w:tbl>
    <w:p w14:paraId="56B351AF" w14:textId="77777777" w:rsidR="0043636D" w:rsidRDefault="00000000">
      <w:pPr>
        <w:pBdr>
          <w:bottom w:val="single" w:sz="6" w:space="3" w:color="2E5496"/>
        </w:pBdr>
        <w:spacing w:before="320" w:after="150"/>
      </w:pPr>
      <w:r>
        <w:rPr>
          <w:b/>
          <w:bCs/>
          <w:color w:val="2E5496"/>
          <w:sz w:val="27"/>
          <w:szCs w:val="27"/>
        </w:rPr>
        <w:t>1   Die Abbildung lesen</w:t>
      </w:r>
    </w:p>
    <w:p w14:paraId="38517F24" w14:textId="77777777" w:rsidR="0043636D" w:rsidRDefault="00000000">
      <w:pPr>
        <w:spacing w:after="140" w:line="278" w:lineRule="auto"/>
      </w:pPr>
      <w:r>
        <w:t>Die folgende Übersicht fasst alle Mechanismen der ACD in einem Bild zusammen. Wir gehen sie Feld für Feld durch – von der Entzündung (A) über Leber und Makrophagen (B, C) bis zu Niere und Knochenmark (D, E).</w:t>
      </w:r>
    </w:p>
    <w:p w14:paraId="29875661" w14:textId="77777777" w:rsidR="0043636D" w:rsidRDefault="00000000">
      <w:pPr>
        <w:spacing w:before="80" w:after="60"/>
        <w:jc w:val="center"/>
      </w:pPr>
      <w:r>
        <w:rPr>
          <w:noProof/>
        </w:rPr>
        <w:drawing>
          <wp:inline distT="0" distB="0" distL="0" distR="0" wp14:anchorId="68444261" wp14:editId="1DB36F36">
            <wp:extent cx="5715000" cy="3876675"/>
            <wp:effectExtent l="0" t="0" r="0" b="0"/>
            <wp:docPr id="1" name="Pathophysiologie der Anämie der chronischen Erkrankung" descr="Pathophysiologie der Anämie der chronischen Erkrankung" title="Pathophysiologie der Anämie der chronischen Erkran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715000" cy="3876675"/>
                    </a:xfrm>
                    <a:prstGeom prst="rect">
                      <a:avLst/>
                    </a:prstGeom>
                  </pic:spPr>
                </pic:pic>
              </a:graphicData>
            </a:graphic>
          </wp:inline>
        </w:drawing>
      </w:r>
    </w:p>
    <w:p w14:paraId="480999F5" w14:textId="77777777" w:rsidR="0043636D" w:rsidRDefault="00000000">
      <w:pPr>
        <w:spacing w:after="170"/>
        <w:jc w:val="center"/>
      </w:pPr>
      <w:r>
        <w:rPr>
          <w:i/>
          <w:iCs/>
          <w:color w:val="55657A"/>
          <w:sz w:val="17"/>
          <w:szCs w:val="17"/>
        </w:rPr>
        <w:t xml:space="preserve">Abbildung 1 – Pathophysiologische Mechanismen der ACD. Nach: </w:t>
      </w:r>
      <w:proofErr w:type="spellStart"/>
      <w:r>
        <w:rPr>
          <w:i/>
          <w:iCs/>
          <w:color w:val="55657A"/>
          <w:sz w:val="17"/>
          <w:szCs w:val="17"/>
        </w:rPr>
        <w:t>Weiss</w:t>
      </w:r>
      <w:proofErr w:type="spellEnd"/>
      <w:r>
        <w:rPr>
          <w:i/>
          <w:iCs/>
          <w:color w:val="55657A"/>
          <w:sz w:val="17"/>
          <w:szCs w:val="17"/>
        </w:rPr>
        <w:t xml:space="preserve"> G, Goodnough LT. </w:t>
      </w:r>
      <w:proofErr w:type="spellStart"/>
      <w:r>
        <w:rPr>
          <w:i/>
          <w:iCs/>
          <w:color w:val="55657A"/>
          <w:sz w:val="17"/>
          <w:szCs w:val="17"/>
        </w:rPr>
        <w:t>Anemia</w:t>
      </w:r>
      <w:proofErr w:type="spellEnd"/>
      <w:r>
        <w:rPr>
          <w:i/>
          <w:iCs/>
          <w:color w:val="55657A"/>
          <w:sz w:val="17"/>
          <w:szCs w:val="17"/>
        </w:rPr>
        <w:t xml:space="preserve"> </w:t>
      </w:r>
      <w:proofErr w:type="spellStart"/>
      <w:r>
        <w:rPr>
          <w:i/>
          <w:iCs/>
          <w:color w:val="55657A"/>
          <w:sz w:val="17"/>
          <w:szCs w:val="17"/>
        </w:rPr>
        <w:t>of</w:t>
      </w:r>
      <w:proofErr w:type="spellEnd"/>
      <w:r>
        <w:rPr>
          <w:i/>
          <w:iCs/>
          <w:color w:val="55657A"/>
          <w:sz w:val="17"/>
          <w:szCs w:val="17"/>
        </w:rPr>
        <w:t xml:space="preserve"> Chronic Disease. N Engl J Med. 2005;352(10):1011–1023 (Figure 1). Verwendung im Rahmen der Lehre.</w:t>
      </w:r>
    </w:p>
    <w:p w14:paraId="33643A39" w14:textId="77777777" w:rsidR="0043636D" w:rsidRDefault="00000000">
      <w:pPr>
        <w:spacing w:after="80" w:line="280" w:lineRule="auto"/>
      </w:pPr>
      <w:r>
        <w:rPr>
          <w:b/>
          <w:bCs/>
        </w:rPr>
        <w:t xml:space="preserve">A – Auslöser &amp; Immunzellen (links): </w:t>
      </w:r>
      <w:r>
        <w:t>Mikroorganismen, Tumorzellen oder eine fehlgeleitete Immunabwehr aktivieren Monozyten/Makrophagen und T-Zellen. Diese schütten Zytokine aus: Interleukin-6, Interleukin-1, TNF-α und Interferon-γ.</w:t>
      </w:r>
    </w:p>
    <w:p w14:paraId="271A7DF7" w14:textId="77777777" w:rsidR="0043636D" w:rsidRDefault="00000000">
      <w:pPr>
        <w:spacing w:after="80" w:line="280" w:lineRule="auto"/>
      </w:pPr>
      <w:r>
        <w:rPr>
          <w:b/>
          <w:bCs/>
        </w:rPr>
        <w:t xml:space="preserve">B – Leber &amp; Darm (oben rechts): </w:t>
      </w:r>
      <w:r>
        <w:t>Interleukin-6 lässt die Leber Hepcidin bilden. Hepcidin senkt die Eisenaufnahme im Duodenum.</w:t>
      </w:r>
    </w:p>
    <w:p w14:paraId="3E5F3DBA" w14:textId="77777777" w:rsidR="0043636D" w:rsidRDefault="00000000">
      <w:pPr>
        <w:spacing w:after="80" w:line="280" w:lineRule="auto"/>
      </w:pPr>
      <w:r>
        <w:rPr>
          <w:b/>
          <w:bCs/>
        </w:rPr>
        <w:t xml:space="preserve">C – Makrophage (Mitte): </w:t>
      </w:r>
      <w:r>
        <w:t>Hepcidin schließt Ferroportin – die einzige Austrittstür für Eisen. Das beim Abbau alter Erythrozyten recycelte Eisen bleibt in der Zelle und wird als Ferritin gespeichert; das Serumeisen sinkt.</w:t>
      </w:r>
    </w:p>
    <w:p w14:paraId="66CFEFF8" w14:textId="77777777" w:rsidR="0043636D" w:rsidRDefault="00000000">
      <w:pPr>
        <w:spacing w:after="80" w:line="280" w:lineRule="auto"/>
      </w:pPr>
      <w:r>
        <w:rPr>
          <w:b/>
          <w:bCs/>
        </w:rPr>
        <w:lastRenderedPageBreak/>
        <w:t xml:space="preserve">D – Niere (unten links): </w:t>
      </w:r>
      <w:r>
        <w:t>Die Zytokine hemmen die Erythropoetin-Produktion – weniger Antrieb für die Blutbildung.</w:t>
      </w:r>
    </w:p>
    <w:p w14:paraId="5235F068" w14:textId="77777777" w:rsidR="0043636D" w:rsidRDefault="00000000">
      <w:pPr>
        <w:spacing w:after="80" w:line="280" w:lineRule="auto"/>
      </w:pPr>
      <w:r>
        <w:rPr>
          <w:b/>
          <w:bCs/>
        </w:rPr>
        <w:t xml:space="preserve">E – Knochenmark (unten rechts): </w:t>
      </w:r>
      <w:r>
        <w:t xml:space="preserve">Zusätzlich werden die </w:t>
      </w:r>
      <w:proofErr w:type="spellStart"/>
      <w:r>
        <w:t>erythroiden</w:t>
      </w:r>
      <w:proofErr w:type="spellEnd"/>
      <w:r>
        <w:t xml:space="preserve"> Vorläuferzellen direkt gehemmt.</w:t>
      </w:r>
    </w:p>
    <w:p w14:paraId="7A54B486" w14:textId="77777777" w:rsidR="0043636D" w:rsidRDefault="00000000">
      <w:pPr>
        <w:pBdr>
          <w:bottom w:val="single" w:sz="6" w:space="3" w:color="2E5496"/>
        </w:pBdr>
        <w:spacing w:before="320" w:after="150"/>
      </w:pPr>
      <w:r>
        <w:rPr>
          <w:b/>
          <w:bCs/>
          <w:color w:val="2E5496"/>
          <w:sz w:val="27"/>
          <w:szCs w:val="27"/>
        </w:rPr>
        <w:t>2   Pathophysiologie – ausführlich</w:t>
      </w:r>
    </w:p>
    <w:p w14:paraId="1E9E645B" w14:textId="77777777" w:rsidR="0043636D" w:rsidRDefault="00000000">
      <w:pPr>
        <w:spacing w:after="140" w:line="278" w:lineRule="auto"/>
      </w:pPr>
      <w:r>
        <w:t>Die ACD ist kein „Defekt“, sondern ein ursprünglich sinnvolles Abwehrprogramm des Körpers, das bei dauerhafter Entzündung zum Problem wird. Um sie zu verstehen, beginnt man am besten mit der Frage: Warum sperrt der Körper sein eigenes Eisen überhaupt weg?</w:t>
      </w:r>
    </w:p>
    <w:p w14:paraId="3D7CAB49" w14:textId="77777777" w:rsidR="0043636D" w:rsidRDefault="00000000">
      <w:pPr>
        <w:spacing w:before="180" w:after="90"/>
      </w:pPr>
      <w:r>
        <w:rPr>
          <w:b/>
          <w:bCs/>
          <w:color w:val="2E5496"/>
          <w:sz w:val="22"/>
          <w:szCs w:val="22"/>
        </w:rPr>
        <w:t>2.1   Der biologische Sinn: Eisen als Waffe im Infektabwehr („nutritive Immunität“)</w:t>
      </w:r>
    </w:p>
    <w:p w14:paraId="72C3DA25" w14:textId="77777777" w:rsidR="0043636D" w:rsidRDefault="00000000">
      <w:pPr>
        <w:spacing w:after="140" w:line="278" w:lineRule="auto"/>
      </w:pPr>
      <w:r>
        <w:t xml:space="preserve">Eisen ist nicht nur für uns lebenswichtig, sondern auch für fast alle Krankheitserreger: Bakterien, Pilze und manche Tumorzellen brauchen Eisen, um sich zu vermehren. Bei einer Infektion verfolgt der Körper deshalb eine einfache Strategie – er entzieht den Eindringlingen das Eisen, indem er es aus dem Blut (wo sich die Erreger tummeln) in seine Speicher zurückzieht. Dieses „Aushungern“ der Erreger nennt man nutritive Immunität (nutritional </w:t>
      </w:r>
      <w:proofErr w:type="spellStart"/>
      <w:r>
        <w:t>immunity</w:t>
      </w:r>
      <w:proofErr w:type="spellEnd"/>
      <w:r>
        <w:t>). Es ist eine evolutionär uralte, sehr wirksame Akut-Phase-Abwehr.</w:t>
      </w:r>
    </w:p>
    <w:p w14:paraId="5E94BA58" w14:textId="77777777" w:rsidR="0043636D" w:rsidRDefault="00000000">
      <w:pPr>
        <w:spacing w:after="140" w:line="278" w:lineRule="auto"/>
      </w:pPr>
      <w:r>
        <w:t xml:space="preserve">Bei einer kurzen Infektion ist das ideal: Eisen wird ein paar Tage weggesperrt, der Erreger wird besiegt, danach normalisiert sich alles. Das Problem entsteht erst, wenn die Entzündung chronisch wird – etwa bei Rheuma, chronischen Infekten oder Tumoren. Dann läuft das Schutzprogramm dauerhaft, und aus einer sinnvollen Abwehr wird eine chronische Anämie. Die ACD ist </w:t>
      </w:r>
      <w:proofErr w:type="gramStart"/>
      <w:r>
        <w:t>also gewissermaßen</w:t>
      </w:r>
      <w:proofErr w:type="gramEnd"/>
      <w:r>
        <w:t xml:space="preserve"> der „Preis“ einer dauerhaft eingeschalteten Abwehr.</w:t>
      </w:r>
    </w:p>
    <w:p w14:paraId="0ABDBA62" w14:textId="77777777" w:rsidR="0043636D" w:rsidRDefault="00000000">
      <w:pPr>
        <w:spacing w:before="180" w:after="90"/>
      </w:pPr>
      <w:r>
        <w:rPr>
          <w:b/>
          <w:bCs/>
          <w:color w:val="2E5496"/>
          <w:sz w:val="22"/>
          <w:szCs w:val="22"/>
        </w:rPr>
        <w:t>2.2   Die Zytokine – was machen IL-6, IL-1, TNF-α und IFN-γ?</w:t>
      </w:r>
    </w:p>
    <w:p w14:paraId="2BA3F11C" w14:textId="77777777" w:rsidR="0043636D" w:rsidRDefault="00000000">
      <w:pPr>
        <w:spacing w:after="90" w:line="278" w:lineRule="auto"/>
      </w:pPr>
      <w:r>
        <w:t>Die Immunzellen (Monozyten, Makrophagen, T-Zellen) übersetzen die Entzündung in chemische Signale – Zytokine. Vier sind zentral, und jedes hat eine etwas andere Aufgabe:</w:t>
      </w:r>
    </w:p>
    <w:p w14:paraId="4B6578CB" w14:textId="77777777" w:rsidR="0043636D" w:rsidRDefault="00000000">
      <w:pPr>
        <w:pStyle w:val="Listenabsatz"/>
        <w:numPr>
          <w:ilvl w:val="0"/>
          <w:numId w:val="2"/>
        </w:numPr>
        <w:spacing w:after="80" w:line="272" w:lineRule="auto"/>
      </w:pPr>
      <w:r>
        <w:rPr>
          <w:b/>
          <w:bCs/>
        </w:rPr>
        <w:t xml:space="preserve">Interleukin-6 (IL-6) </w:t>
      </w:r>
      <w:r>
        <w:t>ist der Dirigent. Es steuert die Akut-Phase-Reaktion der Leber: Es lässt Hepcidin, Ferritin und CRP ansteigen und gleichzeitig Transferrin und Albumin absinken. Die Verbindung „Entzündung → Hepcidin“ läuft fast ausschließlich über IL-6 – deshalb ist es der wichtigste Botenstoff der ACD.</w:t>
      </w:r>
    </w:p>
    <w:p w14:paraId="0ED7D160" w14:textId="77777777" w:rsidR="0043636D" w:rsidRDefault="00000000">
      <w:pPr>
        <w:pStyle w:val="Listenabsatz"/>
        <w:numPr>
          <w:ilvl w:val="0"/>
          <w:numId w:val="2"/>
        </w:numPr>
        <w:spacing w:after="80" w:line="272" w:lineRule="auto"/>
      </w:pPr>
      <w:r>
        <w:rPr>
          <w:b/>
          <w:bCs/>
        </w:rPr>
        <w:t xml:space="preserve">Interleukin-1 (IL-1) und TNF-α </w:t>
      </w:r>
      <w:r>
        <w:t>unterstützen IL-6, bremsen zusätzlich direkt die Blutbildung und fördern, dass Makrophagen vermehrt Eisen einlagern.</w:t>
      </w:r>
    </w:p>
    <w:p w14:paraId="08880A3F" w14:textId="77777777" w:rsidR="0043636D" w:rsidRDefault="00000000">
      <w:pPr>
        <w:pStyle w:val="Listenabsatz"/>
        <w:numPr>
          <w:ilvl w:val="0"/>
          <w:numId w:val="2"/>
        </w:numPr>
        <w:spacing w:after="80" w:line="272" w:lineRule="auto"/>
      </w:pPr>
      <w:r>
        <w:rPr>
          <w:b/>
          <w:bCs/>
        </w:rPr>
        <w:t xml:space="preserve">Interferon-γ (IFN-γ) </w:t>
      </w:r>
      <w:r>
        <w:t>wirkt vor allem am Knochenmark: Es hemmt die Vermehrung der roten Vorläuferzellen und treibt sie teilweise in den programmierten Zelltod. Zusätzlich kurbelt es die Eisenaufnahme der Makrophagen an (über den Transporter DMT-1), sodass noch mehr Eisen in den Zellen landet.</w:t>
      </w:r>
    </w:p>
    <w:p w14:paraId="65FDD978" w14:textId="77777777" w:rsidR="0043636D" w:rsidRDefault="00000000">
      <w:pPr>
        <w:spacing w:after="140" w:line="278" w:lineRule="auto"/>
      </w:pPr>
      <w:r>
        <w:t>Man sieht: Mehrere Zytokine greifen an mehreren Stellen gleichzeitig an. Genau dieses Zusammenspiel macht die Anämie aus – es gibt nicht den einen Schalter, sondern ein abgestimmtes Programm.</w:t>
      </w:r>
    </w:p>
    <w:p w14:paraId="568CAE7A" w14:textId="77777777" w:rsidR="0043636D" w:rsidRDefault="00000000">
      <w:pPr>
        <w:spacing w:before="180" w:after="90"/>
      </w:pPr>
      <w:r>
        <w:rPr>
          <w:b/>
          <w:bCs/>
          <w:color w:val="2E5496"/>
          <w:sz w:val="22"/>
          <w:szCs w:val="22"/>
        </w:rPr>
        <w:t>2.3   Der zentrale Schalter: Hepcidin und Ferroportin (richtig erklärt)</w:t>
      </w:r>
    </w:p>
    <w:p w14:paraId="6E0E6F03" w14:textId="77777777" w:rsidR="0043636D" w:rsidRDefault="00000000">
      <w:pPr>
        <w:spacing w:after="140" w:line="278" w:lineRule="auto"/>
      </w:pPr>
      <w:r>
        <w:t>Der wichtigste einzelne Mechanismus ist die Achse IL-6 → Hepcidin → Ferroportin. Hier lohnt es sich, genau hinzuschauen, weil der Zusammenhang sonst leicht missverstanden wird.</w:t>
      </w:r>
    </w:p>
    <w:p w14:paraId="3AC5A71F" w14:textId="77777777" w:rsidR="0043636D" w:rsidRDefault="00000000">
      <w:pPr>
        <w:spacing w:after="140" w:line="278" w:lineRule="auto"/>
      </w:pPr>
      <w:r>
        <w:rPr>
          <w:b/>
          <w:bCs/>
        </w:rPr>
        <w:t xml:space="preserve">Hepcidin </w:t>
      </w:r>
      <w:r>
        <w:t>ist ein kleines Hormon, das die Leber bildet. Es ist der oberste Regulator des Körpereisens. Sein einziger Angriffspunkt ist ein Eiweiß namens Ferroportin.</w:t>
      </w:r>
    </w:p>
    <w:p w14:paraId="4BA932CB" w14:textId="77777777" w:rsidR="0043636D" w:rsidRDefault="00000000">
      <w:pPr>
        <w:spacing w:after="140" w:line="278" w:lineRule="auto"/>
      </w:pPr>
      <w:r>
        <w:rPr>
          <w:b/>
          <w:bCs/>
        </w:rPr>
        <w:t xml:space="preserve">Ferroportin </w:t>
      </w:r>
      <w:r>
        <w:t>ist die einzige bekannte „Ausgangstür“, durch die Eisen eine Zelle nach außen ins Blut verlassen kann. Diese Tür sitzt an genau den Zellen, die Eisen ins Blut abgeben müssen: an den Darmzellen (Enterozyten) im Zwölffingerdarm, an den Makrophagen, die Eisen aus alten Erythrozyten recyceln, und an den Leberzellen, die Eisen speichern.</w:t>
      </w:r>
    </w:p>
    <w:p w14:paraId="350E6A1E" w14:textId="77777777" w:rsidR="0043636D" w:rsidRDefault="00000000">
      <w:pPr>
        <w:spacing w:after="90" w:line="278" w:lineRule="auto"/>
      </w:pPr>
      <w:r>
        <w:rPr>
          <w:b/>
          <w:bCs/>
        </w:rPr>
        <w:lastRenderedPageBreak/>
        <w:t xml:space="preserve">Bindet Hepcidin an Ferroportin, wird die Tür abgebaut – sie verschwindet von der Zelloberfläche. </w:t>
      </w:r>
      <w:r>
        <w:t>Und jetzt der entscheidende Punkt, der oft verkürzt wird:</w:t>
      </w:r>
    </w:p>
    <w:p w14:paraId="0509C89C" w14:textId="77777777" w:rsidR="0043636D" w:rsidRDefault="00000000">
      <w:pPr>
        <w:pStyle w:val="Listenabsatz"/>
        <w:numPr>
          <w:ilvl w:val="0"/>
          <w:numId w:val="2"/>
        </w:numPr>
        <w:spacing w:after="80" w:line="272" w:lineRule="auto"/>
      </w:pPr>
      <w:r>
        <w:rPr>
          <w:b/>
          <w:bCs/>
        </w:rPr>
        <w:t xml:space="preserve">Im Darm: </w:t>
      </w:r>
      <w:r>
        <w:t>Das Nahrungseisen wird von der Darmzelle weiterhin aufgenommen – über einen anderen Transporter (DMT-1) gelangt es von innen in die Zelle. Ohne Ferroportin kann es die Zelle aber nicht mehr verlassen und ins Blut übertreten. Es bleibt in der Darmzelle stecken und geht verloren, wenn diese nach wenigen Tagen abgestoßen und mit dem Stuhl ausgeschieden wird. Die Eisenaufnahme in den Körper sinkt also nicht, weil die Zelle kein Eisen aufnimmt, sondern weil sie es nicht ins Blut weitergeben kann – das ist der Zusammenhang, der im Schaubild hinter „verminderte Eisenaufnahme“ steckt.</w:t>
      </w:r>
    </w:p>
    <w:p w14:paraId="6361B5A1" w14:textId="77777777" w:rsidR="0043636D" w:rsidRDefault="00000000">
      <w:pPr>
        <w:pStyle w:val="Listenabsatz"/>
        <w:numPr>
          <w:ilvl w:val="0"/>
          <w:numId w:val="2"/>
        </w:numPr>
        <w:spacing w:after="80" w:line="272" w:lineRule="auto"/>
      </w:pPr>
      <w:r>
        <w:rPr>
          <w:b/>
          <w:bCs/>
        </w:rPr>
        <w:t xml:space="preserve">In den Makrophagen: </w:t>
      </w:r>
      <w:r>
        <w:t>Sie bauen ständig alte rote Blutkörperchen ab – das ist sogar die mit Abstand größte Eisenquelle des Körpers (etwa 20–25 mg pro Tag aus dem Recycling, gegenüber nur 1–2 mg aus der Nahrung). Normalerweise geben sie dieses Eisen über Ferroportin wieder ins Blut ab. Ist Ferroportin abgebaut, bleibt es in der Zelle gefangen und wird als Ferritin eingelagert.</w:t>
      </w:r>
    </w:p>
    <w:p w14:paraId="3681BABB" w14:textId="77777777" w:rsidR="0043636D" w:rsidRDefault="00000000">
      <w:pPr>
        <w:spacing w:after="140" w:line="278" w:lineRule="auto"/>
      </w:pPr>
      <w:r>
        <w:rPr>
          <w:b/>
          <w:bCs/>
        </w:rPr>
        <w:t xml:space="preserve">Ergebnis beider Effekte: </w:t>
      </w:r>
      <w:r>
        <w:t>Im Blut – also dort, wo das Knochenmark das Eisen abholen würde – sinkt das Eisen, obwohl die Gesamtspeicher des Körpers voll oder sogar überfüllt sind. Diesen Zustand nennt man funktionellen Eisenmangel: genug Eisen vorhanden, aber am falschen Ort und nicht verfügbar. Das erklärt direkt den wichtigsten Laborbefund – Serumeisen niedrig, Ferritin aber normal bis erhöht.</w:t>
      </w:r>
    </w:p>
    <w:p w14:paraId="29E55839" w14:textId="77777777" w:rsidR="0043636D" w:rsidRDefault="00000000">
      <w:pPr>
        <w:spacing w:before="180" w:after="90"/>
      </w:pPr>
      <w:r>
        <w:rPr>
          <w:b/>
          <w:bCs/>
          <w:color w:val="2E5496"/>
          <w:sz w:val="22"/>
          <w:szCs w:val="22"/>
        </w:rPr>
        <w:t>2.4   Weniger Antrieb: Erythropoetin (Niere)</w:t>
      </w:r>
    </w:p>
    <w:p w14:paraId="5E7656B3" w14:textId="77777777" w:rsidR="0043636D" w:rsidRDefault="00000000">
      <w:pPr>
        <w:spacing w:after="140" w:line="278" w:lineRule="auto"/>
      </w:pPr>
      <w:r>
        <w:t xml:space="preserve">Eisen wegsperren allein würde nur eine milde Anämie machen. Die Zytokine ziehen aber eine zweite Bremse: Sie dämpfen in der Niere die Bildung von Erythropoetin (EPO) – dem Hormon, das die Blutbildung antreibt. Bei einer Anämie sollte </w:t>
      </w:r>
      <w:proofErr w:type="gramStart"/>
      <w:r>
        <w:t>EPO eigentlich</w:t>
      </w:r>
      <w:proofErr w:type="gramEnd"/>
      <w:r>
        <w:t xml:space="preserve"> kräftig ansteigen; bei der ACD bleibt dieser Anstieg „inadäquat niedrig“, also schwächer, als es der Blutarmut entspräche. Und selbst das vorhandene EPO wirkt schlechter, weil die Entzündung auch die Empfindlichkeit des Knochenmarks für EPO herabsetzt.</w:t>
      </w:r>
    </w:p>
    <w:p w14:paraId="7CE9029E" w14:textId="77777777" w:rsidR="0043636D" w:rsidRDefault="00000000">
      <w:pPr>
        <w:spacing w:before="180" w:after="90"/>
      </w:pPr>
      <w:r>
        <w:rPr>
          <w:b/>
          <w:bCs/>
          <w:color w:val="2E5496"/>
          <w:sz w:val="22"/>
          <w:szCs w:val="22"/>
        </w:rPr>
        <w:t>2.5   Gebremste Produktion: das Knochenmark</w:t>
      </w:r>
    </w:p>
    <w:p w14:paraId="12164F54" w14:textId="77777777" w:rsidR="0043636D" w:rsidRDefault="00000000">
      <w:pPr>
        <w:spacing w:after="140" w:line="278" w:lineRule="auto"/>
      </w:pPr>
      <w:r>
        <w:t xml:space="preserve">Die dritte Bremse setzt direkt am Knochenmark an. Vor allem IFN-γ und TNF-α hemmen die Vermehrung und Reifung der </w:t>
      </w:r>
      <w:proofErr w:type="spellStart"/>
      <w:r>
        <w:t>erythroiden</w:t>
      </w:r>
      <w:proofErr w:type="spellEnd"/>
      <w:r>
        <w:t xml:space="preserve"> Vorläuferzellen und fördern deren Untergang. Hinzu kommt, dass die aktivierten Makrophagen alte Erythrozyten etwas schneller abbauen als sonst – die Lebensdauer der roten Blutkörperchen ist leicht verkürzt. Das Knochenmark müsste also mehr nachproduzieren, kann es aber wegen des Eisenmangels im Blut, des zu geringen EPO und der direkten Hemmung gerade nicht.</w:t>
      </w:r>
    </w:p>
    <w:p w14:paraId="7CEDFA97" w14:textId="77777777" w:rsidR="0043636D" w:rsidRDefault="00000000">
      <w:pPr>
        <w:spacing w:before="180" w:after="90"/>
      </w:pPr>
      <w:r>
        <w:rPr>
          <w:b/>
          <w:bCs/>
          <w:color w:val="2E5496"/>
          <w:sz w:val="22"/>
          <w:szCs w:val="22"/>
        </w:rPr>
        <w:t>2.6   Alles zusammen</w:t>
      </w:r>
    </w:p>
    <w:p w14:paraId="50B37215" w14:textId="77777777" w:rsidR="0043636D" w:rsidRDefault="00000000">
      <w:pPr>
        <w:spacing w:after="90" w:line="278" w:lineRule="auto"/>
      </w:pPr>
      <w:r>
        <w:t>In der Summe greifen drei Bremsen ineinander (siehe Abbildung 2):</w:t>
      </w:r>
    </w:p>
    <w:p w14:paraId="0F2C79CE" w14:textId="77777777" w:rsidR="0043636D" w:rsidRDefault="00000000">
      <w:pPr>
        <w:pStyle w:val="Listenabsatz"/>
        <w:numPr>
          <w:ilvl w:val="0"/>
          <w:numId w:val="3"/>
        </w:numPr>
        <w:spacing w:after="70" w:line="272" w:lineRule="auto"/>
      </w:pPr>
      <w:r>
        <w:t>Eisen wird weggesperrt → funktioneller Eisenmangel,</w:t>
      </w:r>
    </w:p>
    <w:p w14:paraId="38499613" w14:textId="77777777" w:rsidR="0043636D" w:rsidRDefault="00000000">
      <w:pPr>
        <w:pStyle w:val="Listenabsatz"/>
        <w:numPr>
          <w:ilvl w:val="0"/>
          <w:numId w:val="3"/>
        </w:numPr>
        <w:spacing w:after="70" w:line="272" w:lineRule="auto"/>
      </w:pPr>
      <w:r>
        <w:t>zu wenig Erythropoetin → schwacher Antrieb,</w:t>
      </w:r>
    </w:p>
    <w:p w14:paraId="7A0F2041" w14:textId="77777777" w:rsidR="0043636D" w:rsidRDefault="00000000">
      <w:pPr>
        <w:pStyle w:val="Listenabsatz"/>
        <w:numPr>
          <w:ilvl w:val="0"/>
          <w:numId w:val="3"/>
        </w:numPr>
        <w:spacing w:after="70" w:line="272" w:lineRule="auto"/>
      </w:pPr>
      <w:r>
        <w:t>direkt gehemmtes Knochenmark → wenig Nachschub, dazu leicht verkürzte Erythrozyten-Lebensdauer.</w:t>
      </w:r>
    </w:p>
    <w:p w14:paraId="31555726" w14:textId="77777777" w:rsidR="0043636D" w:rsidRDefault="00000000">
      <w:pPr>
        <w:spacing w:before="60" w:after="140" w:line="278" w:lineRule="auto"/>
      </w:pPr>
      <w:r>
        <w:t>Weil es sich um ein reguliertes Schutzprogramm und nicht um einen Zusammenbruch handelt, ist die Anämie meist nur mild bis mäßig ausgeprägt. Und weil die Eisenspeicher dabei voll bleiben, ist das Ferritin der Befund, der die ACD vom echten Eisenmangel unterscheidet – der Übergang zu Abschnitt 4.</w:t>
      </w:r>
    </w:p>
    <w:p w14:paraId="31FD181C" w14:textId="77777777" w:rsidR="0043636D" w:rsidRDefault="00000000">
      <w:pPr>
        <w:spacing w:before="80" w:after="60"/>
        <w:jc w:val="center"/>
      </w:pPr>
      <w:r>
        <w:rPr>
          <w:noProof/>
        </w:rPr>
        <w:lastRenderedPageBreak/>
        <w:drawing>
          <wp:inline distT="0" distB="0" distL="0" distR="0" wp14:anchorId="07BE3AA5" wp14:editId="27DC7F1F">
            <wp:extent cx="5334000" cy="3409950"/>
            <wp:effectExtent l="0" t="0" r="0" b="0"/>
            <wp:docPr id="1305618195" name="Mechanismus-Schaubild der ACD" descr="Mechanismus-Schaubild der ACD" title="Mechanismus-Schaubild der 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334000" cy="3409950"/>
                    </a:xfrm>
                    <a:prstGeom prst="rect">
                      <a:avLst/>
                    </a:prstGeom>
                  </pic:spPr>
                </pic:pic>
              </a:graphicData>
            </a:graphic>
          </wp:inline>
        </w:drawing>
      </w:r>
    </w:p>
    <w:p w14:paraId="5592B2B4" w14:textId="77777777" w:rsidR="0043636D" w:rsidRDefault="00000000">
      <w:pPr>
        <w:spacing w:after="170"/>
        <w:jc w:val="center"/>
      </w:pPr>
      <w:r>
        <w:rPr>
          <w:i/>
          <w:iCs/>
          <w:color w:val="55657A"/>
          <w:sz w:val="17"/>
          <w:szCs w:val="17"/>
        </w:rPr>
        <w:t>Abbildung 2 – Vereinfachte Mechanismus-Kaskade der ACD (eigene Darstellung).</w:t>
      </w:r>
    </w:p>
    <w:p w14:paraId="77DE76A2" w14:textId="77777777" w:rsidR="0043636D" w:rsidRDefault="00000000">
      <w:pPr>
        <w:pBdr>
          <w:bottom w:val="single" w:sz="6" w:space="3" w:color="2E5496"/>
        </w:pBdr>
        <w:spacing w:before="320" w:after="150"/>
      </w:pPr>
      <w:r>
        <w:rPr>
          <w:b/>
          <w:bCs/>
          <w:color w:val="2E5496"/>
          <w:sz w:val="27"/>
          <w:szCs w:val="27"/>
        </w:rPr>
        <w:t>3   Typisches Blutbild &amp; Eisenstatus</w:t>
      </w:r>
    </w:p>
    <w:p w14:paraId="2C7A1D7D" w14:textId="77777777" w:rsidR="0043636D" w:rsidRDefault="00000000">
      <w:pPr>
        <w:spacing w:after="120" w:line="278" w:lineRule="auto"/>
      </w:pPr>
      <w:r>
        <w:t>Das Labor zeigt eine meist milde bis mäßige Anämie mit einem charakteristischen Eisenstatus:</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00"/>
        <w:gridCol w:w="2400"/>
        <w:gridCol w:w="4446"/>
      </w:tblGrid>
      <w:tr w:rsidR="0043636D" w14:paraId="704038DB" w14:textId="77777777">
        <w:tblPrEx>
          <w:tblCellMar>
            <w:top w:w="0" w:type="dxa"/>
            <w:bottom w:w="0" w:type="dxa"/>
          </w:tblCellMar>
        </w:tblPrEx>
        <w:trPr>
          <w:cantSplit/>
          <w:tblHeader/>
        </w:trPr>
        <w:tc>
          <w:tcPr>
            <w:tcW w:w="2900" w:type="dxa"/>
            <w:tcBorders>
              <w:top w:val="single" w:sz="4" w:space="0" w:color="B7C2D0"/>
              <w:left w:val="single" w:sz="4" w:space="0" w:color="B7C2D0"/>
              <w:bottom w:val="single" w:sz="4" w:space="0" w:color="B7C2D0"/>
              <w:right w:val="single" w:sz="4" w:space="0" w:color="B7C2D0"/>
            </w:tcBorders>
            <w:shd w:val="clear" w:color="auto" w:fill="2E5496"/>
            <w:tcMar>
              <w:top w:w="60" w:type="dxa"/>
              <w:left w:w="110" w:type="dxa"/>
              <w:bottom w:w="60" w:type="dxa"/>
              <w:right w:w="110" w:type="dxa"/>
            </w:tcMar>
            <w:vAlign w:val="center"/>
          </w:tcPr>
          <w:p w14:paraId="63CA08D1" w14:textId="77777777" w:rsidR="0043636D" w:rsidRDefault="00000000">
            <w:pPr>
              <w:spacing w:line="248" w:lineRule="auto"/>
            </w:pPr>
            <w:r>
              <w:rPr>
                <w:b/>
                <w:bCs/>
                <w:color w:val="FFFFFF"/>
                <w:sz w:val="20"/>
                <w:szCs w:val="20"/>
              </w:rPr>
              <w:t>Parameter</w:t>
            </w:r>
          </w:p>
        </w:tc>
        <w:tc>
          <w:tcPr>
            <w:tcW w:w="2400" w:type="dxa"/>
            <w:tcBorders>
              <w:top w:val="single" w:sz="4" w:space="0" w:color="B7C2D0"/>
              <w:left w:val="single" w:sz="4" w:space="0" w:color="B7C2D0"/>
              <w:bottom w:val="single" w:sz="4" w:space="0" w:color="B7C2D0"/>
              <w:right w:val="single" w:sz="4" w:space="0" w:color="B7C2D0"/>
            </w:tcBorders>
            <w:shd w:val="clear" w:color="auto" w:fill="2E5496"/>
            <w:tcMar>
              <w:top w:w="60" w:type="dxa"/>
              <w:left w:w="110" w:type="dxa"/>
              <w:bottom w:w="60" w:type="dxa"/>
              <w:right w:w="110" w:type="dxa"/>
            </w:tcMar>
            <w:vAlign w:val="center"/>
          </w:tcPr>
          <w:p w14:paraId="58C133E8" w14:textId="77777777" w:rsidR="0043636D" w:rsidRDefault="00000000">
            <w:pPr>
              <w:spacing w:line="248" w:lineRule="auto"/>
            </w:pPr>
            <w:r>
              <w:rPr>
                <w:b/>
                <w:bCs/>
                <w:color w:val="FFFFFF"/>
                <w:sz w:val="20"/>
                <w:szCs w:val="20"/>
              </w:rPr>
              <w:t>Befund bei ACD</w:t>
            </w:r>
          </w:p>
        </w:tc>
        <w:tc>
          <w:tcPr>
            <w:tcW w:w="4446" w:type="dxa"/>
            <w:tcBorders>
              <w:top w:val="single" w:sz="4" w:space="0" w:color="B7C2D0"/>
              <w:left w:val="single" w:sz="4" w:space="0" w:color="B7C2D0"/>
              <w:bottom w:val="single" w:sz="4" w:space="0" w:color="B7C2D0"/>
              <w:right w:val="single" w:sz="4" w:space="0" w:color="B7C2D0"/>
            </w:tcBorders>
            <w:shd w:val="clear" w:color="auto" w:fill="2E5496"/>
            <w:tcMar>
              <w:top w:w="60" w:type="dxa"/>
              <w:left w:w="110" w:type="dxa"/>
              <w:bottom w:w="60" w:type="dxa"/>
              <w:right w:w="110" w:type="dxa"/>
            </w:tcMar>
            <w:vAlign w:val="center"/>
          </w:tcPr>
          <w:p w14:paraId="06F14066" w14:textId="77777777" w:rsidR="0043636D" w:rsidRDefault="00000000">
            <w:pPr>
              <w:spacing w:line="248" w:lineRule="auto"/>
            </w:pPr>
            <w:r>
              <w:rPr>
                <w:b/>
                <w:bCs/>
                <w:color w:val="FFFFFF"/>
                <w:sz w:val="20"/>
                <w:szCs w:val="20"/>
              </w:rPr>
              <w:t>Kurzkommentar</w:t>
            </w:r>
          </w:p>
        </w:tc>
      </w:tr>
      <w:tr w:rsidR="0043636D" w14:paraId="5BA08269"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6AD2256A" w14:textId="77777777" w:rsidR="0043636D" w:rsidRDefault="00000000">
            <w:pPr>
              <w:spacing w:line="248" w:lineRule="auto"/>
            </w:pPr>
            <w:r>
              <w:rPr>
                <w:sz w:val="20"/>
                <w:szCs w:val="20"/>
              </w:rPr>
              <w:t>Hämoglobin</w:t>
            </w:r>
          </w:p>
        </w:tc>
        <w:tc>
          <w:tcPr>
            <w:tcW w:w="24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1AF23717" w14:textId="77777777" w:rsidR="0043636D" w:rsidRDefault="00000000">
            <w:pPr>
              <w:spacing w:line="248" w:lineRule="auto"/>
            </w:pPr>
            <w:r>
              <w:rPr>
                <w:sz w:val="20"/>
                <w:szCs w:val="20"/>
              </w:rPr>
              <w:t>↓ (meist mild–mäßig)</w:t>
            </w:r>
          </w:p>
        </w:tc>
        <w:tc>
          <w:tcPr>
            <w:tcW w:w="44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59383044" w14:textId="77777777" w:rsidR="0043636D" w:rsidRDefault="00000000">
            <w:pPr>
              <w:spacing w:line="248" w:lineRule="auto"/>
            </w:pPr>
            <w:r>
              <w:rPr>
                <w:sz w:val="20"/>
                <w:szCs w:val="20"/>
              </w:rPr>
              <w:t>selten schwer ausgeprägt</w:t>
            </w:r>
          </w:p>
        </w:tc>
      </w:tr>
      <w:tr w:rsidR="0043636D" w14:paraId="567E9CEC"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37B7CA97" w14:textId="77777777" w:rsidR="0043636D" w:rsidRDefault="00000000">
            <w:pPr>
              <w:spacing w:line="248" w:lineRule="auto"/>
            </w:pPr>
            <w:r>
              <w:rPr>
                <w:sz w:val="20"/>
                <w:szCs w:val="20"/>
              </w:rPr>
              <w:t>MCV</w:t>
            </w:r>
          </w:p>
        </w:tc>
        <w:tc>
          <w:tcPr>
            <w:tcW w:w="24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20E3D188" w14:textId="77777777" w:rsidR="0043636D" w:rsidRDefault="00000000">
            <w:pPr>
              <w:spacing w:line="248" w:lineRule="auto"/>
            </w:pPr>
            <w:r>
              <w:rPr>
                <w:sz w:val="20"/>
                <w:szCs w:val="20"/>
              </w:rPr>
              <w:t>normal → später ↓</w:t>
            </w:r>
          </w:p>
        </w:tc>
        <w:tc>
          <w:tcPr>
            <w:tcW w:w="4446"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5EEA1D9B" w14:textId="77777777" w:rsidR="0043636D" w:rsidRDefault="00000000">
            <w:pPr>
              <w:spacing w:line="248" w:lineRule="auto"/>
            </w:pPr>
            <w:r>
              <w:rPr>
                <w:sz w:val="20"/>
                <w:szCs w:val="20"/>
              </w:rPr>
              <w:t xml:space="preserve">anfangs normozytär, bei langer Dauer </w:t>
            </w:r>
            <w:proofErr w:type="spellStart"/>
            <w:r>
              <w:rPr>
                <w:sz w:val="20"/>
                <w:szCs w:val="20"/>
              </w:rPr>
              <w:t>mikrozytär</w:t>
            </w:r>
            <w:proofErr w:type="spellEnd"/>
          </w:p>
        </w:tc>
      </w:tr>
      <w:tr w:rsidR="0043636D" w14:paraId="62CA5EB0"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5256ECDD" w14:textId="77777777" w:rsidR="0043636D" w:rsidRDefault="00000000">
            <w:pPr>
              <w:spacing w:line="248" w:lineRule="auto"/>
            </w:pPr>
            <w:r>
              <w:rPr>
                <w:sz w:val="20"/>
                <w:szCs w:val="20"/>
              </w:rPr>
              <w:t>MCH</w:t>
            </w:r>
          </w:p>
        </w:tc>
        <w:tc>
          <w:tcPr>
            <w:tcW w:w="24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6BC9C009" w14:textId="77777777" w:rsidR="0043636D" w:rsidRDefault="00000000">
            <w:pPr>
              <w:spacing w:line="248" w:lineRule="auto"/>
            </w:pPr>
            <w:r>
              <w:rPr>
                <w:sz w:val="20"/>
                <w:szCs w:val="20"/>
              </w:rPr>
              <w:t>normal → später ↓</w:t>
            </w:r>
          </w:p>
        </w:tc>
        <w:tc>
          <w:tcPr>
            <w:tcW w:w="44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35D90CBC" w14:textId="77777777" w:rsidR="0043636D" w:rsidRDefault="00000000">
            <w:pPr>
              <w:spacing w:line="248" w:lineRule="auto"/>
            </w:pPr>
            <w:proofErr w:type="spellStart"/>
            <w:r>
              <w:rPr>
                <w:sz w:val="20"/>
                <w:szCs w:val="20"/>
              </w:rPr>
              <w:t>normo</w:t>
            </w:r>
            <w:proofErr w:type="spellEnd"/>
            <w:r>
              <w:rPr>
                <w:sz w:val="20"/>
                <w:szCs w:val="20"/>
              </w:rPr>
              <w:t>- → hypochrom</w:t>
            </w:r>
          </w:p>
        </w:tc>
      </w:tr>
      <w:tr w:rsidR="0043636D" w14:paraId="2203CF4D"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089F7057" w14:textId="77777777" w:rsidR="0043636D" w:rsidRDefault="00000000">
            <w:pPr>
              <w:spacing w:line="248" w:lineRule="auto"/>
            </w:pPr>
            <w:r>
              <w:rPr>
                <w:sz w:val="20"/>
                <w:szCs w:val="20"/>
              </w:rPr>
              <w:t>Retikulozyten</w:t>
            </w:r>
          </w:p>
        </w:tc>
        <w:tc>
          <w:tcPr>
            <w:tcW w:w="24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67A56A62" w14:textId="77777777" w:rsidR="0043636D" w:rsidRDefault="00000000">
            <w:pPr>
              <w:spacing w:line="248" w:lineRule="auto"/>
            </w:pPr>
            <w:r>
              <w:rPr>
                <w:sz w:val="20"/>
                <w:szCs w:val="20"/>
              </w:rPr>
              <w:t>↓ / niedrig-normal</w:t>
            </w:r>
          </w:p>
        </w:tc>
        <w:tc>
          <w:tcPr>
            <w:tcW w:w="4446"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4FEF14F5" w14:textId="77777777" w:rsidR="0043636D" w:rsidRDefault="00000000">
            <w:pPr>
              <w:spacing w:line="248" w:lineRule="auto"/>
            </w:pPr>
            <w:r>
              <w:rPr>
                <w:sz w:val="20"/>
                <w:szCs w:val="20"/>
              </w:rPr>
              <w:t>inadäquat niedrig (zu wenig Nachschub)</w:t>
            </w:r>
          </w:p>
        </w:tc>
      </w:tr>
      <w:tr w:rsidR="0043636D" w14:paraId="4C99B9BC"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07347DB7" w14:textId="77777777" w:rsidR="0043636D" w:rsidRDefault="00000000">
            <w:pPr>
              <w:spacing w:line="248" w:lineRule="auto"/>
            </w:pPr>
            <w:r>
              <w:rPr>
                <w:sz w:val="20"/>
                <w:szCs w:val="20"/>
              </w:rPr>
              <w:t>Serumeisen</w:t>
            </w:r>
          </w:p>
        </w:tc>
        <w:tc>
          <w:tcPr>
            <w:tcW w:w="24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03C78690" w14:textId="77777777" w:rsidR="0043636D" w:rsidRDefault="00000000">
            <w:pPr>
              <w:spacing w:line="248" w:lineRule="auto"/>
            </w:pPr>
            <w:r>
              <w:rPr>
                <w:sz w:val="20"/>
                <w:szCs w:val="20"/>
              </w:rPr>
              <w:t>↓</w:t>
            </w:r>
          </w:p>
        </w:tc>
        <w:tc>
          <w:tcPr>
            <w:tcW w:w="44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1881F4D1" w14:textId="77777777" w:rsidR="0043636D" w:rsidRDefault="00000000">
            <w:pPr>
              <w:spacing w:line="248" w:lineRule="auto"/>
            </w:pPr>
            <w:r>
              <w:rPr>
                <w:sz w:val="20"/>
                <w:szCs w:val="20"/>
              </w:rPr>
              <w:t>Eisen ist nicht im Plasma verfügbar</w:t>
            </w:r>
          </w:p>
        </w:tc>
      </w:tr>
      <w:tr w:rsidR="0043636D" w14:paraId="2A47733B"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407749E6" w14:textId="77777777" w:rsidR="0043636D" w:rsidRDefault="00000000">
            <w:pPr>
              <w:spacing w:line="248" w:lineRule="auto"/>
            </w:pPr>
            <w:r>
              <w:rPr>
                <w:b/>
                <w:bCs/>
                <w:sz w:val="20"/>
                <w:szCs w:val="20"/>
              </w:rPr>
              <w:t>Ferritin</w:t>
            </w:r>
          </w:p>
        </w:tc>
        <w:tc>
          <w:tcPr>
            <w:tcW w:w="2400" w:type="dxa"/>
            <w:tcBorders>
              <w:top w:val="single" w:sz="4" w:space="0" w:color="B7C2D0"/>
              <w:left w:val="single" w:sz="4" w:space="0" w:color="B7C2D0"/>
              <w:bottom w:val="single" w:sz="4" w:space="0" w:color="B7C2D0"/>
              <w:right w:val="single" w:sz="4" w:space="0" w:color="B7C2D0"/>
            </w:tcBorders>
            <w:shd w:val="clear" w:color="auto" w:fill="FFF6E0"/>
            <w:tcMar>
              <w:top w:w="60" w:type="dxa"/>
              <w:left w:w="110" w:type="dxa"/>
              <w:bottom w:w="60" w:type="dxa"/>
              <w:right w:w="110" w:type="dxa"/>
            </w:tcMar>
            <w:vAlign w:val="center"/>
          </w:tcPr>
          <w:p w14:paraId="3B5AC5E9" w14:textId="77777777" w:rsidR="0043636D" w:rsidRDefault="00000000">
            <w:pPr>
              <w:spacing w:line="248" w:lineRule="auto"/>
            </w:pPr>
            <w:r>
              <w:rPr>
                <w:b/>
                <w:bCs/>
                <w:sz w:val="20"/>
                <w:szCs w:val="20"/>
              </w:rPr>
              <w:t>normal bis ↑</w:t>
            </w:r>
          </w:p>
        </w:tc>
        <w:tc>
          <w:tcPr>
            <w:tcW w:w="4446" w:type="dxa"/>
            <w:tcBorders>
              <w:top w:val="single" w:sz="4" w:space="0" w:color="B7C2D0"/>
              <w:left w:val="single" w:sz="4" w:space="0" w:color="B7C2D0"/>
              <w:bottom w:val="single" w:sz="4" w:space="0" w:color="B7C2D0"/>
              <w:right w:val="single" w:sz="4" w:space="0" w:color="B7C2D0"/>
            </w:tcBorders>
            <w:shd w:val="clear" w:color="auto" w:fill="FFF6E0"/>
            <w:tcMar>
              <w:top w:w="60" w:type="dxa"/>
              <w:left w:w="110" w:type="dxa"/>
              <w:bottom w:w="60" w:type="dxa"/>
              <w:right w:w="110" w:type="dxa"/>
            </w:tcMar>
            <w:vAlign w:val="center"/>
          </w:tcPr>
          <w:p w14:paraId="24674ED1" w14:textId="77777777" w:rsidR="0043636D" w:rsidRDefault="00000000">
            <w:pPr>
              <w:spacing w:line="248" w:lineRule="auto"/>
            </w:pPr>
            <w:r>
              <w:rPr>
                <w:sz w:val="20"/>
                <w:szCs w:val="20"/>
              </w:rPr>
              <w:t>Akut-Phase-Protein; Speicher voll – der Schlüsselbefund</w:t>
            </w:r>
          </w:p>
        </w:tc>
      </w:tr>
      <w:tr w:rsidR="0043636D" w14:paraId="5E87E620"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121C66F8" w14:textId="77777777" w:rsidR="0043636D" w:rsidRDefault="00000000">
            <w:pPr>
              <w:spacing w:line="248" w:lineRule="auto"/>
            </w:pPr>
            <w:r>
              <w:rPr>
                <w:sz w:val="20"/>
                <w:szCs w:val="20"/>
              </w:rPr>
              <w:t>Transferrin</w:t>
            </w:r>
          </w:p>
        </w:tc>
        <w:tc>
          <w:tcPr>
            <w:tcW w:w="24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66A6E4F9" w14:textId="77777777" w:rsidR="0043636D" w:rsidRDefault="00000000">
            <w:pPr>
              <w:spacing w:line="248" w:lineRule="auto"/>
            </w:pPr>
            <w:r>
              <w:rPr>
                <w:sz w:val="20"/>
                <w:szCs w:val="20"/>
              </w:rPr>
              <w:t>normal bis ↓</w:t>
            </w:r>
          </w:p>
        </w:tc>
        <w:tc>
          <w:tcPr>
            <w:tcW w:w="44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2BAB1D18" w14:textId="77777777" w:rsidR="0043636D" w:rsidRDefault="00000000">
            <w:pPr>
              <w:spacing w:line="248" w:lineRule="auto"/>
            </w:pPr>
            <w:r>
              <w:rPr>
                <w:sz w:val="20"/>
                <w:szCs w:val="20"/>
              </w:rPr>
              <w:t>negatives Akut-Phase-Protein</w:t>
            </w:r>
          </w:p>
        </w:tc>
      </w:tr>
      <w:tr w:rsidR="0043636D" w14:paraId="3D3E9BE9"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1E94539C" w14:textId="77777777" w:rsidR="0043636D" w:rsidRDefault="00000000">
            <w:pPr>
              <w:spacing w:line="248" w:lineRule="auto"/>
            </w:pPr>
            <w:r>
              <w:rPr>
                <w:sz w:val="20"/>
                <w:szCs w:val="20"/>
              </w:rPr>
              <w:t>Transferrinsättigung</w:t>
            </w:r>
          </w:p>
        </w:tc>
        <w:tc>
          <w:tcPr>
            <w:tcW w:w="24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3B58566C" w14:textId="77777777" w:rsidR="0043636D" w:rsidRDefault="00000000">
            <w:pPr>
              <w:spacing w:line="248" w:lineRule="auto"/>
            </w:pPr>
            <w:r>
              <w:rPr>
                <w:sz w:val="20"/>
                <w:szCs w:val="20"/>
              </w:rPr>
              <w:t>↓</w:t>
            </w:r>
          </w:p>
        </w:tc>
        <w:tc>
          <w:tcPr>
            <w:tcW w:w="4446"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46F84367" w14:textId="77777777" w:rsidR="0043636D" w:rsidRDefault="00000000">
            <w:pPr>
              <w:spacing w:line="248" w:lineRule="auto"/>
            </w:pPr>
            <w:r>
              <w:rPr>
                <w:sz w:val="20"/>
                <w:szCs w:val="20"/>
              </w:rPr>
              <w:t>wenig Eisen am Transportprotein</w:t>
            </w:r>
          </w:p>
        </w:tc>
      </w:tr>
      <w:tr w:rsidR="0043636D" w14:paraId="2BBEE72E"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25F01D27" w14:textId="77777777" w:rsidR="0043636D" w:rsidRDefault="00000000">
            <w:pPr>
              <w:spacing w:line="248" w:lineRule="auto"/>
            </w:pPr>
            <w:r>
              <w:rPr>
                <w:sz w:val="20"/>
                <w:szCs w:val="20"/>
              </w:rPr>
              <w:t>löslicher Transferrin-</w:t>
            </w:r>
            <w:r>
              <w:rPr>
                <w:sz w:val="20"/>
                <w:szCs w:val="20"/>
              </w:rPr>
              <w:br/>
            </w:r>
            <w:proofErr w:type="spellStart"/>
            <w:r>
              <w:rPr>
                <w:sz w:val="20"/>
                <w:szCs w:val="20"/>
              </w:rPr>
              <w:t>rezeptor</w:t>
            </w:r>
            <w:proofErr w:type="spellEnd"/>
            <w:r>
              <w:rPr>
                <w:sz w:val="20"/>
                <w:szCs w:val="20"/>
              </w:rPr>
              <w:t xml:space="preserve"> (</w:t>
            </w:r>
            <w:proofErr w:type="spellStart"/>
            <w:r>
              <w:rPr>
                <w:sz w:val="20"/>
                <w:szCs w:val="20"/>
              </w:rPr>
              <w:t>sTfR</w:t>
            </w:r>
            <w:proofErr w:type="spellEnd"/>
            <w:r>
              <w:rPr>
                <w:sz w:val="20"/>
                <w:szCs w:val="20"/>
              </w:rPr>
              <w:t>)</w:t>
            </w:r>
          </w:p>
        </w:tc>
        <w:tc>
          <w:tcPr>
            <w:tcW w:w="24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079B1D0A" w14:textId="77777777" w:rsidR="0043636D" w:rsidRDefault="00000000">
            <w:pPr>
              <w:spacing w:line="248" w:lineRule="auto"/>
            </w:pPr>
            <w:r>
              <w:rPr>
                <w:sz w:val="20"/>
                <w:szCs w:val="20"/>
              </w:rPr>
              <w:t>normal</w:t>
            </w:r>
          </w:p>
        </w:tc>
        <w:tc>
          <w:tcPr>
            <w:tcW w:w="44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64B5C120" w14:textId="77777777" w:rsidR="0043636D" w:rsidRDefault="00000000">
            <w:pPr>
              <w:spacing w:line="248" w:lineRule="auto"/>
            </w:pPr>
            <w:r>
              <w:rPr>
                <w:sz w:val="20"/>
                <w:szCs w:val="20"/>
              </w:rPr>
              <w:t>beim echten Eisenmangel ↑ – hilft, beide zu trennen</w:t>
            </w:r>
          </w:p>
        </w:tc>
      </w:tr>
      <w:tr w:rsidR="0043636D" w14:paraId="798B2DA8" w14:textId="77777777">
        <w:tblPrEx>
          <w:tblCellMar>
            <w:top w:w="0" w:type="dxa"/>
            <w:bottom w:w="0" w:type="dxa"/>
          </w:tblCellMar>
        </w:tblPrEx>
        <w:trPr>
          <w:cantSplit/>
        </w:trPr>
        <w:tc>
          <w:tcPr>
            <w:tcW w:w="29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55B7A188" w14:textId="77777777" w:rsidR="0043636D" w:rsidRDefault="00000000">
            <w:pPr>
              <w:spacing w:line="248" w:lineRule="auto"/>
            </w:pPr>
            <w:r>
              <w:rPr>
                <w:sz w:val="20"/>
                <w:szCs w:val="20"/>
              </w:rPr>
              <w:t>CRP / BSG</w:t>
            </w:r>
          </w:p>
        </w:tc>
        <w:tc>
          <w:tcPr>
            <w:tcW w:w="24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00BCC5BD" w14:textId="77777777" w:rsidR="0043636D" w:rsidRDefault="00000000">
            <w:pPr>
              <w:spacing w:line="248" w:lineRule="auto"/>
            </w:pPr>
            <w:r>
              <w:rPr>
                <w:sz w:val="20"/>
                <w:szCs w:val="20"/>
              </w:rPr>
              <w:t>↑</w:t>
            </w:r>
          </w:p>
        </w:tc>
        <w:tc>
          <w:tcPr>
            <w:tcW w:w="4446"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64FA8347" w14:textId="77777777" w:rsidR="0043636D" w:rsidRDefault="00000000">
            <w:pPr>
              <w:spacing w:line="248" w:lineRule="auto"/>
            </w:pPr>
            <w:r>
              <w:rPr>
                <w:sz w:val="20"/>
                <w:szCs w:val="20"/>
              </w:rPr>
              <w:t>Hinweis auf zugrunde liegende Entzündung</w:t>
            </w:r>
          </w:p>
        </w:tc>
      </w:tr>
    </w:tbl>
    <w:p w14:paraId="6B637CCA" w14:textId="77777777" w:rsidR="0043636D" w:rsidRDefault="00000000">
      <w:pPr>
        <w:pBdr>
          <w:bottom w:val="single" w:sz="6" w:space="3" w:color="2E5496"/>
        </w:pBdr>
        <w:spacing w:before="320" w:after="150"/>
      </w:pPr>
      <w:r>
        <w:rPr>
          <w:b/>
          <w:bCs/>
          <w:color w:val="2E5496"/>
          <w:sz w:val="27"/>
          <w:szCs w:val="27"/>
        </w:rPr>
        <w:t>4   Der diagnostische Schlüssel: Eisenmangel vs. ACD</w:t>
      </w:r>
    </w:p>
    <w:p w14:paraId="62B74DD6" w14:textId="77777777" w:rsidR="0043636D" w:rsidRDefault="00000000">
      <w:pPr>
        <w:spacing w:after="120" w:line="278" w:lineRule="auto"/>
      </w:pPr>
      <w:r>
        <w:rPr>
          <w:b/>
          <w:bCs/>
        </w:rPr>
        <w:t xml:space="preserve">Bei beiden ist das Serumeisen niedrig – das Ferritin trennt sie. </w:t>
      </w:r>
      <w:r>
        <w:t>Das ist der wichtigste Punkt der Präsentation und liefert die Abstimmungsfrage.</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46"/>
        <w:gridCol w:w="3300"/>
        <w:gridCol w:w="3300"/>
      </w:tblGrid>
      <w:tr w:rsidR="0043636D" w14:paraId="3F7383FD" w14:textId="77777777">
        <w:tblPrEx>
          <w:tblCellMar>
            <w:top w:w="0" w:type="dxa"/>
            <w:bottom w:w="0" w:type="dxa"/>
          </w:tblCellMar>
        </w:tblPrEx>
        <w:trPr>
          <w:cantSplit/>
          <w:tblHeader/>
        </w:trPr>
        <w:tc>
          <w:tcPr>
            <w:tcW w:w="3146" w:type="dxa"/>
            <w:tcBorders>
              <w:top w:val="single" w:sz="4" w:space="0" w:color="B7C2D0"/>
              <w:left w:val="single" w:sz="4" w:space="0" w:color="B7C2D0"/>
              <w:bottom w:val="single" w:sz="4" w:space="0" w:color="B7C2D0"/>
              <w:right w:val="single" w:sz="4" w:space="0" w:color="B7C2D0"/>
            </w:tcBorders>
            <w:shd w:val="clear" w:color="auto" w:fill="2E5496"/>
            <w:tcMar>
              <w:top w:w="60" w:type="dxa"/>
              <w:left w:w="110" w:type="dxa"/>
              <w:bottom w:w="60" w:type="dxa"/>
              <w:right w:w="110" w:type="dxa"/>
            </w:tcMar>
            <w:vAlign w:val="center"/>
          </w:tcPr>
          <w:p w14:paraId="2D31FFB5" w14:textId="77777777" w:rsidR="0043636D" w:rsidRDefault="00000000">
            <w:pPr>
              <w:spacing w:line="248" w:lineRule="auto"/>
            </w:pPr>
            <w:r>
              <w:rPr>
                <w:b/>
                <w:bCs/>
                <w:color w:val="FFFFFF"/>
                <w:sz w:val="20"/>
                <w:szCs w:val="20"/>
              </w:rPr>
              <w:t>Parameter</w:t>
            </w:r>
          </w:p>
        </w:tc>
        <w:tc>
          <w:tcPr>
            <w:tcW w:w="3300" w:type="dxa"/>
            <w:tcBorders>
              <w:top w:val="single" w:sz="4" w:space="0" w:color="B7C2D0"/>
              <w:left w:val="single" w:sz="4" w:space="0" w:color="B7C2D0"/>
              <w:bottom w:val="single" w:sz="4" w:space="0" w:color="B7C2D0"/>
              <w:right w:val="single" w:sz="4" w:space="0" w:color="B7C2D0"/>
            </w:tcBorders>
            <w:shd w:val="clear" w:color="auto" w:fill="2E5496"/>
            <w:tcMar>
              <w:top w:w="60" w:type="dxa"/>
              <w:left w:w="110" w:type="dxa"/>
              <w:bottom w:w="60" w:type="dxa"/>
              <w:right w:w="110" w:type="dxa"/>
            </w:tcMar>
            <w:vAlign w:val="center"/>
          </w:tcPr>
          <w:p w14:paraId="722B8AFB" w14:textId="77777777" w:rsidR="0043636D" w:rsidRDefault="00000000">
            <w:pPr>
              <w:spacing w:line="248" w:lineRule="auto"/>
            </w:pPr>
            <w:r>
              <w:rPr>
                <w:b/>
                <w:bCs/>
                <w:color w:val="FFFFFF"/>
                <w:sz w:val="20"/>
                <w:szCs w:val="20"/>
              </w:rPr>
              <w:t>Eisenmangelanämie</w:t>
            </w:r>
          </w:p>
        </w:tc>
        <w:tc>
          <w:tcPr>
            <w:tcW w:w="3300" w:type="dxa"/>
            <w:tcBorders>
              <w:top w:val="single" w:sz="4" w:space="0" w:color="B7C2D0"/>
              <w:left w:val="single" w:sz="4" w:space="0" w:color="B7C2D0"/>
              <w:bottom w:val="single" w:sz="4" w:space="0" w:color="B7C2D0"/>
              <w:right w:val="single" w:sz="4" w:space="0" w:color="B7C2D0"/>
            </w:tcBorders>
            <w:shd w:val="clear" w:color="auto" w:fill="2E5496"/>
            <w:tcMar>
              <w:top w:w="60" w:type="dxa"/>
              <w:left w:w="110" w:type="dxa"/>
              <w:bottom w:w="60" w:type="dxa"/>
              <w:right w:w="110" w:type="dxa"/>
            </w:tcMar>
            <w:vAlign w:val="center"/>
          </w:tcPr>
          <w:p w14:paraId="0B7FC349" w14:textId="77777777" w:rsidR="0043636D" w:rsidRDefault="00000000">
            <w:pPr>
              <w:spacing w:line="248" w:lineRule="auto"/>
            </w:pPr>
            <w:r>
              <w:rPr>
                <w:b/>
                <w:bCs/>
                <w:color w:val="FFFFFF"/>
                <w:sz w:val="20"/>
                <w:szCs w:val="20"/>
              </w:rPr>
              <w:t>Anämie der chron. Erkrankung</w:t>
            </w:r>
          </w:p>
        </w:tc>
      </w:tr>
      <w:tr w:rsidR="0043636D" w14:paraId="46DD4629" w14:textId="77777777">
        <w:tblPrEx>
          <w:tblCellMar>
            <w:top w:w="0" w:type="dxa"/>
            <w:bottom w:w="0" w:type="dxa"/>
          </w:tblCellMar>
        </w:tblPrEx>
        <w:trPr>
          <w:cantSplit/>
        </w:trPr>
        <w:tc>
          <w:tcPr>
            <w:tcW w:w="31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4D9B4ACA" w14:textId="77777777" w:rsidR="0043636D" w:rsidRDefault="00000000">
            <w:pPr>
              <w:spacing w:line="248" w:lineRule="auto"/>
            </w:pPr>
            <w:r>
              <w:rPr>
                <w:b/>
                <w:bCs/>
                <w:sz w:val="20"/>
                <w:szCs w:val="20"/>
              </w:rPr>
              <w:t>Ferritin (Speicher)</w:t>
            </w:r>
          </w:p>
        </w:tc>
        <w:tc>
          <w:tcPr>
            <w:tcW w:w="3300" w:type="dxa"/>
            <w:tcBorders>
              <w:top w:val="single" w:sz="4" w:space="0" w:color="B7C2D0"/>
              <w:left w:val="single" w:sz="4" w:space="0" w:color="B7C2D0"/>
              <w:bottom w:val="single" w:sz="4" w:space="0" w:color="B7C2D0"/>
              <w:right w:val="single" w:sz="4" w:space="0" w:color="B7C2D0"/>
            </w:tcBorders>
            <w:shd w:val="clear" w:color="auto" w:fill="FCEAE0"/>
            <w:tcMar>
              <w:top w:w="60" w:type="dxa"/>
              <w:left w:w="110" w:type="dxa"/>
              <w:bottom w:w="60" w:type="dxa"/>
              <w:right w:w="110" w:type="dxa"/>
            </w:tcMar>
            <w:vAlign w:val="center"/>
          </w:tcPr>
          <w:p w14:paraId="599104F8" w14:textId="77777777" w:rsidR="0043636D" w:rsidRDefault="00000000">
            <w:pPr>
              <w:spacing w:line="248" w:lineRule="auto"/>
            </w:pPr>
            <w:r>
              <w:rPr>
                <w:b/>
                <w:bCs/>
                <w:sz w:val="20"/>
                <w:szCs w:val="20"/>
              </w:rPr>
              <w:t>↓ niedrig (Speicher leer)</w:t>
            </w:r>
          </w:p>
        </w:tc>
        <w:tc>
          <w:tcPr>
            <w:tcW w:w="3300" w:type="dxa"/>
            <w:tcBorders>
              <w:top w:val="single" w:sz="4" w:space="0" w:color="B7C2D0"/>
              <w:left w:val="single" w:sz="4" w:space="0" w:color="B7C2D0"/>
              <w:bottom w:val="single" w:sz="4" w:space="0" w:color="B7C2D0"/>
              <w:right w:val="single" w:sz="4" w:space="0" w:color="B7C2D0"/>
            </w:tcBorders>
            <w:shd w:val="clear" w:color="auto" w:fill="E8F0E2"/>
            <w:tcMar>
              <w:top w:w="60" w:type="dxa"/>
              <w:left w:w="110" w:type="dxa"/>
              <w:bottom w:w="60" w:type="dxa"/>
              <w:right w:w="110" w:type="dxa"/>
            </w:tcMar>
            <w:vAlign w:val="center"/>
          </w:tcPr>
          <w:p w14:paraId="2B7872EA" w14:textId="77777777" w:rsidR="0043636D" w:rsidRDefault="00000000">
            <w:pPr>
              <w:spacing w:line="248" w:lineRule="auto"/>
            </w:pPr>
            <w:r>
              <w:rPr>
                <w:b/>
                <w:bCs/>
                <w:sz w:val="20"/>
                <w:szCs w:val="20"/>
              </w:rPr>
              <w:t>normal bis ↑ (Speicher voll)</w:t>
            </w:r>
          </w:p>
        </w:tc>
      </w:tr>
      <w:tr w:rsidR="0043636D" w14:paraId="54A4FE89" w14:textId="77777777">
        <w:tblPrEx>
          <w:tblCellMar>
            <w:top w:w="0" w:type="dxa"/>
            <w:bottom w:w="0" w:type="dxa"/>
          </w:tblCellMar>
        </w:tblPrEx>
        <w:trPr>
          <w:cantSplit/>
        </w:trPr>
        <w:tc>
          <w:tcPr>
            <w:tcW w:w="3146"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31D973DA" w14:textId="77777777" w:rsidR="0043636D" w:rsidRDefault="00000000">
            <w:pPr>
              <w:spacing w:line="248" w:lineRule="auto"/>
            </w:pPr>
            <w:r>
              <w:rPr>
                <w:sz w:val="20"/>
                <w:szCs w:val="20"/>
              </w:rPr>
              <w:t>Serumeisen</w:t>
            </w:r>
          </w:p>
        </w:tc>
        <w:tc>
          <w:tcPr>
            <w:tcW w:w="33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7E3E4DAE" w14:textId="77777777" w:rsidR="0043636D" w:rsidRDefault="00000000">
            <w:pPr>
              <w:spacing w:line="248" w:lineRule="auto"/>
            </w:pPr>
            <w:r>
              <w:rPr>
                <w:sz w:val="20"/>
                <w:szCs w:val="20"/>
              </w:rPr>
              <w:t>↓</w:t>
            </w:r>
          </w:p>
        </w:tc>
        <w:tc>
          <w:tcPr>
            <w:tcW w:w="33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37370419" w14:textId="77777777" w:rsidR="0043636D" w:rsidRDefault="00000000">
            <w:pPr>
              <w:spacing w:line="248" w:lineRule="auto"/>
            </w:pPr>
            <w:r>
              <w:rPr>
                <w:sz w:val="20"/>
                <w:szCs w:val="20"/>
              </w:rPr>
              <w:t>↓</w:t>
            </w:r>
          </w:p>
        </w:tc>
      </w:tr>
      <w:tr w:rsidR="0043636D" w14:paraId="5E254885" w14:textId="77777777">
        <w:tblPrEx>
          <w:tblCellMar>
            <w:top w:w="0" w:type="dxa"/>
            <w:bottom w:w="0" w:type="dxa"/>
          </w:tblCellMar>
        </w:tblPrEx>
        <w:trPr>
          <w:cantSplit/>
        </w:trPr>
        <w:tc>
          <w:tcPr>
            <w:tcW w:w="31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58C5A43C" w14:textId="77777777" w:rsidR="0043636D" w:rsidRDefault="00000000">
            <w:pPr>
              <w:spacing w:line="248" w:lineRule="auto"/>
            </w:pPr>
            <w:r>
              <w:rPr>
                <w:sz w:val="20"/>
                <w:szCs w:val="20"/>
              </w:rPr>
              <w:t>Transferrin</w:t>
            </w:r>
          </w:p>
        </w:tc>
        <w:tc>
          <w:tcPr>
            <w:tcW w:w="33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313A832A" w14:textId="77777777" w:rsidR="0043636D" w:rsidRDefault="00000000">
            <w:pPr>
              <w:spacing w:line="248" w:lineRule="auto"/>
            </w:pPr>
            <w:r>
              <w:rPr>
                <w:sz w:val="20"/>
                <w:szCs w:val="20"/>
              </w:rPr>
              <w:t>↑</w:t>
            </w:r>
          </w:p>
        </w:tc>
        <w:tc>
          <w:tcPr>
            <w:tcW w:w="33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2CC6B548" w14:textId="77777777" w:rsidR="0043636D" w:rsidRDefault="00000000">
            <w:pPr>
              <w:spacing w:line="248" w:lineRule="auto"/>
            </w:pPr>
            <w:r>
              <w:rPr>
                <w:sz w:val="20"/>
                <w:szCs w:val="20"/>
              </w:rPr>
              <w:t>normal bis ↓</w:t>
            </w:r>
          </w:p>
        </w:tc>
      </w:tr>
      <w:tr w:rsidR="0043636D" w14:paraId="391EABAA" w14:textId="77777777">
        <w:tblPrEx>
          <w:tblCellMar>
            <w:top w:w="0" w:type="dxa"/>
            <w:bottom w:w="0" w:type="dxa"/>
          </w:tblCellMar>
        </w:tblPrEx>
        <w:trPr>
          <w:cantSplit/>
        </w:trPr>
        <w:tc>
          <w:tcPr>
            <w:tcW w:w="3146"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575C0D74" w14:textId="77777777" w:rsidR="0043636D" w:rsidRDefault="00000000">
            <w:pPr>
              <w:spacing w:line="248" w:lineRule="auto"/>
            </w:pPr>
            <w:r>
              <w:rPr>
                <w:sz w:val="20"/>
                <w:szCs w:val="20"/>
              </w:rPr>
              <w:lastRenderedPageBreak/>
              <w:t>Transferrinsättigung</w:t>
            </w:r>
          </w:p>
        </w:tc>
        <w:tc>
          <w:tcPr>
            <w:tcW w:w="33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017CEDA4" w14:textId="77777777" w:rsidR="0043636D" w:rsidRDefault="00000000">
            <w:pPr>
              <w:spacing w:line="248" w:lineRule="auto"/>
            </w:pPr>
            <w:r>
              <w:rPr>
                <w:sz w:val="20"/>
                <w:szCs w:val="20"/>
              </w:rPr>
              <w:t>↓</w:t>
            </w:r>
          </w:p>
        </w:tc>
        <w:tc>
          <w:tcPr>
            <w:tcW w:w="33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30B55F88" w14:textId="77777777" w:rsidR="0043636D" w:rsidRDefault="00000000">
            <w:pPr>
              <w:spacing w:line="248" w:lineRule="auto"/>
            </w:pPr>
            <w:r>
              <w:rPr>
                <w:sz w:val="20"/>
                <w:szCs w:val="20"/>
              </w:rPr>
              <w:t>↓</w:t>
            </w:r>
          </w:p>
        </w:tc>
      </w:tr>
      <w:tr w:rsidR="0043636D" w14:paraId="75EDA1B0" w14:textId="77777777">
        <w:tblPrEx>
          <w:tblCellMar>
            <w:top w:w="0" w:type="dxa"/>
            <w:bottom w:w="0" w:type="dxa"/>
          </w:tblCellMar>
        </w:tblPrEx>
        <w:trPr>
          <w:cantSplit/>
        </w:trPr>
        <w:tc>
          <w:tcPr>
            <w:tcW w:w="3146"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68AC7421" w14:textId="77777777" w:rsidR="0043636D" w:rsidRDefault="00000000">
            <w:pPr>
              <w:spacing w:line="248" w:lineRule="auto"/>
            </w:pPr>
            <w:r>
              <w:rPr>
                <w:sz w:val="20"/>
                <w:szCs w:val="20"/>
              </w:rPr>
              <w:t>löslicher Transferrin-</w:t>
            </w:r>
            <w:r>
              <w:rPr>
                <w:sz w:val="20"/>
                <w:szCs w:val="20"/>
              </w:rPr>
              <w:br/>
            </w:r>
            <w:proofErr w:type="spellStart"/>
            <w:r>
              <w:rPr>
                <w:sz w:val="20"/>
                <w:szCs w:val="20"/>
              </w:rPr>
              <w:t>rezeptor</w:t>
            </w:r>
            <w:proofErr w:type="spellEnd"/>
            <w:r>
              <w:rPr>
                <w:sz w:val="20"/>
                <w:szCs w:val="20"/>
              </w:rPr>
              <w:t xml:space="preserve"> (</w:t>
            </w:r>
            <w:proofErr w:type="spellStart"/>
            <w:r>
              <w:rPr>
                <w:sz w:val="20"/>
                <w:szCs w:val="20"/>
              </w:rPr>
              <w:t>sTfR</w:t>
            </w:r>
            <w:proofErr w:type="spellEnd"/>
            <w:r>
              <w:rPr>
                <w:sz w:val="20"/>
                <w:szCs w:val="20"/>
              </w:rPr>
              <w:t>)</w:t>
            </w:r>
          </w:p>
        </w:tc>
        <w:tc>
          <w:tcPr>
            <w:tcW w:w="33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3AF016A4" w14:textId="77777777" w:rsidR="0043636D" w:rsidRDefault="00000000">
            <w:pPr>
              <w:spacing w:line="248" w:lineRule="auto"/>
            </w:pPr>
            <w:r>
              <w:rPr>
                <w:sz w:val="20"/>
                <w:szCs w:val="20"/>
              </w:rPr>
              <w:t>↑</w:t>
            </w:r>
          </w:p>
        </w:tc>
        <w:tc>
          <w:tcPr>
            <w:tcW w:w="3300" w:type="dxa"/>
            <w:tcBorders>
              <w:top w:val="single" w:sz="4" w:space="0" w:color="B7C2D0"/>
              <w:left w:val="single" w:sz="4" w:space="0" w:color="B7C2D0"/>
              <w:bottom w:val="single" w:sz="4" w:space="0" w:color="B7C2D0"/>
              <w:right w:val="single" w:sz="4" w:space="0" w:color="B7C2D0"/>
            </w:tcBorders>
            <w:tcMar>
              <w:top w:w="60" w:type="dxa"/>
              <w:left w:w="110" w:type="dxa"/>
              <w:bottom w:w="60" w:type="dxa"/>
              <w:right w:w="110" w:type="dxa"/>
            </w:tcMar>
            <w:vAlign w:val="center"/>
          </w:tcPr>
          <w:p w14:paraId="27A166B3" w14:textId="77777777" w:rsidR="0043636D" w:rsidRDefault="00000000">
            <w:pPr>
              <w:spacing w:line="248" w:lineRule="auto"/>
            </w:pPr>
            <w:r>
              <w:rPr>
                <w:sz w:val="20"/>
                <w:szCs w:val="20"/>
              </w:rPr>
              <w:t>normal</w:t>
            </w:r>
          </w:p>
        </w:tc>
      </w:tr>
      <w:tr w:rsidR="0043636D" w14:paraId="753E83F4" w14:textId="77777777">
        <w:tblPrEx>
          <w:tblCellMar>
            <w:top w:w="0" w:type="dxa"/>
            <w:bottom w:w="0" w:type="dxa"/>
          </w:tblCellMar>
        </w:tblPrEx>
        <w:trPr>
          <w:cantSplit/>
        </w:trPr>
        <w:tc>
          <w:tcPr>
            <w:tcW w:w="3146"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3860D3C6" w14:textId="77777777" w:rsidR="0043636D" w:rsidRDefault="00000000">
            <w:pPr>
              <w:spacing w:line="248" w:lineRule="auto"/>
            </w:pPr>
            <w:r>
              <w:rPr>
                <w:b/>
                <w:bCs/>
                <w:sz w:val="20"/>
                <w:szCs w:val="20"/>
              </w:rPr>
              <w:t>Grundidee</w:t>
            </w:r>
          </w:p>
        </w:tc>
        <w:tc>
          <w:tcPr>
            <w:tcW w:w="33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75A92FEA" w14:textId="77777777" w:rsidR="0043636D" w:rsidRDefault="00000000">
            <w:pPr>
              <w:spacing w:line="248" w:lineRule="auto"/>
            </w:pPr>
            <w:r>
              <w:rPr>
                <w:b/>
                <w:bCs/>
                <w:sz w:val="20"/>
                <w:szCs w:val="20"/>
              </w:rPr>
              <w:t>leerer Speicher</w:t>
            </w:r>
          </w:p>
        </w:tc>
        <w:tc>
          <w:tcPr>
            <w:tcW w:w="3300" w:type="dxa"/>
            <w:tcBorders>
              <w:top w:val="single" w:sz="4" w:space="0" w:color="B7C2D0"/>
              <w:left w:val="single" w:sz="4" w:space="0" w:color="B7C2D0"/>
              <w:bottom w:val="single" w:sz="4" w:space="0" w:color="B7C2D0"/>
              <w:right w:val="single" w:sz="4" w:space="0" w:color="B7C2D0"/>
            </w:tcBorders>
            <w:shd w:val="clear" w:color="auto" w:fill="F4F8FB"/>
            <w:tcMar>
              <w:top w:w="60" w:type="dxa"/>
              <w:left w:w="110" w:type="dxa"/>
              <w:bottom w:w="60" w:type="dxa"/>
              <w:right w:w="110" w:type="dxa"/>
            </w:tcMar>
            <w:vAlign w:val="center"/>
          </w:tcPr>
          <w:p w14:paraId="76A00DCE" w14:textId="77777777" w:rsidR="0043636D" w:rsidRDefault="00000000">
            <w:pPr>
              <w:spacing w:line="248" w:lineRule="auto"/>
            </w:pPr>
            <w:r>
              <w:rPr>
                <w:b/>
                <w:bCs/>
                <w:sz w:val="20"/>
                <w:szCs w:val="20"/>
              </w:rPr>
              <w:t>verschlossener Speicher</w:t>
            </w:r>
          </w:p>
        </w:tc>
      </w:tr>
    </w:tbl>
    <w:p w14:paraId="7A592C09" w14:textId="77777777" w:rsidR="0043636D" w:rsidRDefault="00000000">
      <w:pPr>
        <w:spacing w:before="120" w:after="140" w:line="278" w:lineRule="auto"/>
      </w:pPr>
      <w:r>
        <w:rPr>
          <w:b/>
          <w:bCs/>
          <w:color w:val="2E5496"/>
        </w:rPr>
        <w:t xml:space="preserve">Einprägen: </w:t>
      </w:r>
      <w:r>
        <w:t>leerer Speicher (Eisenmangel) gegen verschlossenen Speicher (ACD).</w:t>
      </w:r>
    </w:p>
    <w:p w14:paraId="49FB53F9" w14:textId="77777777" w:rsidR="0043636D" w:rsidRDefault="00000000">
      <w:pPr>
        <w:pBdr>
          <w:bottom w:val="single" w:sz="6" w:space="3" w:color="2E5496"/>
        </w:pBdr>
        <w:spacing w:before="320" w:after="150"/>
      </w:pPr>
      <w:r>
        <w:rPr>
          <w:b/>
          <w:bCs/>
          <w:color w:val="2E5496"/>
          <w:sz w:val="27"/>
          <w:szCs w:val="27"/>
        </w:rPr>
        <w:t>5   Reserve-Wissen für Rückfragen</w:t>
      </w:r>
    </w:p>
    <w:p w14:paraId="49D1574A" w14:textId="77777777" w:rsidR="0043636D" w:rsidRDefault="00000000">
      <w:pPr>
        <w:pStyle w:val="Listenabsatz"/>
        <w:numPr>
          <w:ilvl w:val="0"/>
          <w:numId w:val="2"/>
        </w:numPr>
        <w:spacing w:after="80" w:line="272" w:lineRule="auto"/>
      </w:pPr>
      <w:r>
        <w:rPr>
          <w:b/>
          <w:bCs/>
        </w:rPr>
        <w:t xml:space="preserve">Kombinierter Fall (ACD + echter Eisenmangel): </w:t>
      </w:r>
      <w:r>
        <w:t>kommt vor – dann kann ein „normales“ Ferritin trügerisch sein. Hier hilft der lösliche Transferrinrezeptor (</w:t>
      </w:r>
      <w:proofErr w:type="spellStart"/>
      <w:r>
        <w:t>sTfR</w:t>
      </w:r>
      <w:proofErr w:type="spellEnd"/>
      <w:r>
        <w:t xml:space="preserve">): Er steigt nur </w:t>
      </w:r>
      <w:proofErr w:type="gramStart"/>
      <w:r>
        <w:t>bei zusätzlichem echten Eisenmangel</w:t>
      </w:r>
      <w:proofErr w:type="gramEnd"/>
      <w:r>
        <w:t xml:space="preserve"> an.</w:t>
      </w:r>
    </w:p>
    <w:p w14:paraId="7F0E97EE" w14:textId="77777777" w:rsidR="0043636D" w:rsidRDefault="00000000">
      <w:pPr>
        <w:pStyle w:val="Listenabsatz"/>
        <w:numPr>
          <w:ilvl w:val="0"/>
          <w:numId w:val="2"/>
        </w:numPr>
        <w:spacing w:after="80" w:line="272" w:lineRule="auto"/>
      </w:pPr>
      <w:r>
        <w:rPr>
          <w:b/>
          <w:bCs/>
        </w:rPr>
        <w:t xml:space="preserve">Transferrin als negatives Akut-Phase-Protein: </w:t>
      </w:r>
      <w:r>
        <w:t>erklärt, warum es bei der ACD normal bis niedrig ist – im Gegensatz zum echten Eisenmangel, wo es steigt.</w:t>
      </w:r>
    </w:p>
    <w:p w14:paraId="6DE794CC" w14:textId="77777777" w:rsidR="0043636D" w:rsidRDefault="00000000">
      <w:pPr>
        <w:pStyle w:val="Listenabsatz"/>
        <w:numPr>
          <w:ilvl w:val="0"/>
          <w:numId w:val="2"/>
        </w:numPr>
        <w:spacing w:after="80" w:line="272" w:lineRule="auto"/>
      </w:pPr>
      <w:r>
        <w:rPr>
          <w:b/>
          <w:bCs/>
        </w:rPr>
        <w:t xml:space="preserve">Therapie-Logik (nur falls gefragt): </w:t>
      </w:r>
      <w:r>
        <w:t>im Vordergrund steht die Behandlung der Grunderkrankung; eine reine orale Eisengabe greift oft nicht, weil das Eisen ja nicht fehlt, sondern blockiert ist.</w:t>
      </w:r>
    </w:p>
    <w:sectPr w:rsidR="0043636D">
      <w:pgSz w:w="11906" w:h="16838"/>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D3376BF"/>
    <w:multiLevelType w:val="hybridMultilevel"/>
    <w:tmpl w:val="78163E52"/>
    <w:lvl w:ilvl="0" w:tplc="50BA84BA">
      <w:start w:val="1"/>
      <w:numFmt w:val="bullet"/>
      <w:lvlText w:val="•"/>
      <w:lvlJc w:val="left"/>
      <w:pPr>
        <w:ind w:left="440" w:hanging="250"/>
      </w:pPr>
    </w:lvl>
    <w:lvl w:ilvl="1" w:tplc="3320D514">
      <w:numFmt w:val="decimal"/>
      <w:lvlText w:val=""/>
      <w:lvlJc w:val="left"/>
    </w:lvl>
    <w:lvl w:ilvl="2" w:tplc="DA92A360">
      <w:numFmt w:val="decimal"/>
      <w:lvlText w:val=""/>
      <w:lvlJc w:val="left"/>
    </w:lvl>
    <w:lvl w:ilvl="3" w:tplc="447E051E">
      <w:numFmt w:val="decimal"/>
      <w:lvlText w:val=""/>
      <w:lvlJc w:val="left"/>
    </w:lvl>
    <w:lvl w:ilvl="4" w:tplc="9F6432B8">
      <w:numFmt w:val="decimal"/>
      <w:lvlText w:val=""/>
      <w:lvlJc w:val="left"/>
    </w:lvl>
    <w:lvl w:ilvl="5" w:tplc="3F9C99FA">
      <w:numFmt w:val="decimal"/>
      <w:lvlText w:val=""/>
      <w:lvlJc w:val="left"/>
    </w:lvl>
    <w:lvl w:ilvl="6" w:tplc="A74820A2">
      <w:numFmt w:val="decimal"/>
      <w:lvlText w:val=""/>
      <w:lvlJc w:val="left"/>
    </w:lvl>
    <w:lvl w:ilvl="7" w:tplc="32C28730">
      <w:numFmt w:val="decimal"/>
      <w:lvlText w:val=""/>
      <w:lvlJc w:val="left"/>
    </w:lvl>
    <w:lvl w:ilvl="8" w:tplc="C0E21B26">
      <w:numFmt w:val="decimal"/>
      <w:lvlText w:val=""/>
      <w:lvlJc w:val="left"/>
    </w:lvl>
  </w:abstractNum>
  <w:abstractNum w:abstractNumId="1" w15:restartNumberingAfterBreak="0">
    <w:nsid w:val="23A10167"/>
    <w:multiLevelType w:val="hybridMultilevel"/>
    <w:tmpl w:val="EDA20036"/>
    <w:lvl w:ilvl="0" w:tplc="8A16D6EC">
      <w:start w:val="1"/>
      <w:numFmt w:val="bullet"/>
      <w:lvlText w:val="●"/>
      <w:lvlJc w:val="left"/>
      <w:pPr>
        <w:ind w:left="720" w:hanging="360"/>
      </w:pPr>
    </w:lvl>
    <w:lvl w:ilvl="1" w:tplc="AE2A221C">
      <w:start w:val="1"/>
      <w:numFmt w:val="bullet"/>
      <w:lvlText w:val="○"/>
      <w:lvlJc w:val="left"/>
      <w:pPr>
        <w:ind w:left="1440" w:hanging="360"/>
      </w:pPr>
    </w:lvl>
    <w:lvl w:ilvl="2" w:tplc="F4109F40">
      <w:start w:val="1"/>
      <w:numFmt w:val="bullet"/>
      <w:lvlText w:val="■"/>
      <w:lvlJc w:val="left"/>
      <w:pPr>
        <w:ind w:left="2160" w:hanging="360"/>
      </w:pPr>
    </w:lvl>
    <w:lvl w:ilvl="3" w:tplc="E2D21048">
      <w:start w:val="1"/>
      <w:numFmt w:val="bullet"/>
      <w:lvlText w:val="●"/>
      <w:lvlJc w:val="left"/>
      <w:pPr>
        <w:ind w:left="2880" w:hanging="360"/>
      </w:pPr>
    </w:lvl>
    <w:lvl w:ilvl="4" w:tplc="EE1ADB00">
      <w:start w:val="1"/>
      <w:numFmt w:val="bullet"/>
      <w:lvlText w:val="○"/>
      <w:lvlJc w:val="left"/>
      <w:pPr>
        <w:ind w:left="3600" w:hanging="360"/>
      </w:pPr>
    </w:lvl>
    <w:lvl w:ilvl="5" w:tplc="3124A1AC">
      <w:start w:val="1"/>
      <w:numFmt w:val="bullet"/>
      <w:lvlText w:val="■"/>
      <w:lvlJc w:val="left"/>
      <w:pPr>
        <w:ind w:left="4320" w:hanging="360"/>
      </w:pPr>
    </w:lvl>
    <w:lvl w:ilvl="6" w:tplc="C8A4D068">
      <w:start w:val="1"/>
      <w:numFmt w:val="bullet"/>
      <w:lvlText w:val="●"/>
      <w:lvlJc w:val="left"/>
      <w:pPr>
        <w:ind w:left="5040" w:hanging="360"/>
      </w:pPr>
    </w:lvl>
    <w:lvl w:ilvl="7" w:tplc="E2EADE4E">
      <w:start w:val="1"/>
      <w:numFmt w:val="bullet"/>
      <w:lvlText w:val="●"/>
      <w:lvlJc w:val="left"/>
      <w:pPr>
        <w:ind w:left="5760" w:hanging="360"/>
      </w:pPr>
    </w:lvl>
    <w:lvl w:ilvl="8" w:tplc="DE6680C8">
      <w:start w:val="1"/>
      <w:numFmt w:val="bullet"/>
      <w:lvlText w:val="●"/>
      <w:lvlJc w:val="left"/>
      <w:pPr>
        <w:ind w:left="6480" w:hanging="360"/>
      </w:pPr>
    </w:lvl>
  </w:abstractNum>
  <w:abstractNum w:abstractNumId="2" w15:restartNumberingAfterBreak="0">
    <w:nsid w:val="32563A4C"/>
    <w:multiLevelType w:val="hybridMultilevel"/>
    <w:tmpl w:val="5AE802AE"/>
    <w:lvl w:ilvl="0" w:tplc="36EC43AE">
      <w:start w:val="1"/>
      <w:numFmt w:val="decimal"/>
      <w:lvlText w:val="%1."/>
      <w:lvlJc w:val="left"/>
      <w:pPr>
        <w:ind w:left="440" w:hanging="250"/>
      </w:pPr>
    </w:lvl>
    <w:lvl w:ilvl="1" w:tplc="C9740B40">
      <w:numFmt w:val="decimal"/>
      <w:lvlText w:val=""/>
      <w:lvlJc w:val="left"/>
    </w:lvl>
    <w:lvl w:ilvl="2" w:tplc="E7EA7A40">
      <w:numFmt w:val="decimal"/>
      <w:lvlText w:val=""/>
      <w:lvlJc w:val="left"/>
    </w:lvl>
    <w:lvl w:ilvl="3" w:tplc="5366043A">
      <w:numFmt w:val="decimal"/>
      <w:lvlText w:val=""/>
      <w:lvlJc w:val="left"/>
    </w:lvl>
    <w:lvl w:ilvl="4" w:tplc="8E40B9F8">
      <w:numFmt w:val="decimal"/>
      <w:lvlText w:val=""/>
      <w:lvlJc w:val="left"/>
    </w:lvl>
    <w:lvl w:ilvl="5" w:tplc="10784A28">
      <w:numFmt w:val="decimal"/>
      <w:lvlText w:val=""/>
      <w:lvlJc w:val="left"/>
    </w:lvl>
    <w:lvl w:ilvl="6" w:tplc="339C38F6">
      <w:numFmt w:val="decimal"/>
      <w:lvlText w:val=""/>
      <w:lvlJc w:val="left"/>
    </w:lvl>
    <w:lvl w:ilvl="7" w:tplc="B13E339E">
      <w:numFmt w:val="decimal"/>
      <w:lvlText w:val=""/>
      <w:lvlJc w:val="left"/>
    </w:lvl>
    <w:lvl w:ilvl="8" w:tplc="AA1EB55A">
      <w:numFmt w:val="decimal"/>
      <w:lvlText w:val=""/>
      <w:lvlJc w:val="left"/>
    </w:lvl>
  </w:abstractNum>
  <w:num w:numId="1" w16cid:durableId="540366915">
    <w:abstractNumId w:val="1"/>
    <w:lvlOverride w:ilvl="0">
      <w:startOverride w:val="1"/>
    </w:lvlOverride>
  </w:num>
  <w:num w:numId="2" w16cid:durableId="1544370549">
    <w:abstractNumId w:val="0"/>
    <w:lvlOverride w:ilvl="0">
      <w:startOverride w:val="1"/>
    </w:lvlOverride>
  </w:num>
  <w:num w:numId="3" w16cid:durableId="1218198672">
    <w:abstractNumId w:val="2"/>
    <w:lvlOverride w:ilvl="0">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9"/>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36D"/>
    <w:rsid w:val="0043636D"/>
    <w:rsid w:val="008D6473"/>
    <w:rsid w:val="00E404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2F90493"/>
  <w15:docId w15:val="{3622C4AF-D3D2-B440-BD3F-9D76B204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color w:val="1F2D3D"/>
        <w:sz w:val="21"/>
        <w:szCs w:val="21"/>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uiPriority w:val="9"/>
    <w:qFormat/>
    <w:pPr>
      <w:outlineLvl w:val="0"/>
    </w:pPr>
    <w:rPr>
      <w:color w:val="2E74B5"/>
      <w:sz w:val="32"/>
      <w:szCs w:val="32"/>
    </w:rPr>
  </w:style>
  <w:style w:type="paragraph" w:styleId="berschrift2">
    <w:name w:val="heading 2"/>
    <w:uiPriority w:val="9"/>
    <w:semiHidden/>
    <w:unhideWhenUsed/>
    <w:qFormat/>
    <w:pPr>
      <w:outlineLvl w:val="1"/>
    </w:pPr>
    <w:rPr>
      <w:color w:val="2E74B5"/>
      <w:sz w:val="26"/>
      <w:szCs w:val="26"/>
    </w:rPr>
  </w:style>
  <w:style w:type="paragraph" w:styleId="berschrift3">
    <w:name w:val="heading 3"/>
    <w:uiPriority w:val="9"/>
    <w:semiHidden/>
    <w:unhideWhenUsed/>
    <w:qFormat/>
    <w:pPr>
      <w:outlineLvl w:val="2"/>
    </w:pPr>
    <w:rPr>
      <w:color w:val="1F4D78"/>
      <w:sz w:val="24"/>
      <w:szCs w:val="24"/>
    </w:rPr>
  </w:style>
  <w:style w:type="paragraph" w:styleId="berschrift4">
    <w:name w:val="heading 4"/>
    <w:uiPriority w:val="9"/>
    <w:semiHidden/>
    <w:unhideWhenUsed/>
    <w:qFormat/>
    <w:pPr>
      <w:outlineLvl w:val="3"/>
    </w:pPr>
    <w:rPr>
      <w:i/>
      <w:iCs/>
      <w:color w:val="2E74B5"/>
    </w:rPr>
  </w:style>
  <w:style w:type="paragraph" w:styleId="berschrift5">
    <w:name w:val="heading 5"/>
    <w:uiPriority w:val="9"/>
    <w:semiHidden/>
    <w:unhideWhenUsed/>
    <w:qFormat/>
    <w:pPr>
      <w:outlineLvl w:val="4"/>
    </w:pPr>
    <w:rPr>
      <w:color w:val="2E74B5"/>
    </w:rPr>
  </w:style>
  <w:style w:type="paragraph" w:styleId="berschrift6">
    <w:name w:val="heading 6"/>
    <w:uiPriority w:val="9"/>
    <w:semiHidden/>
    <w:unhideWhenUsed/>
    <w:qFormat/>
    <w:pPr>
      <w:outlineLvl w:val="5"/>
    </w:pPr>
    <w:rPr>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uiPriority w:val="10"/>
    <w:qFormat/>
    <w:rPr>
      <w:sz w:val="56"/>
      <w:szCs w:val="56"/>
    </w:rPr>
  </w:style>
  <w:style w:type="paragraph" w:customStyle="1" w:styleId="Fett1">
    <w:name w:val="Fett1"/>
    <w:qFormat/>
    <w:rPr>
      <w:b/>
      <w:bCs/>
    </w:rPr>
  </w:style>
  <w:style w:type="paragraph" w:styleId="Listenabsatz">
    <w:name w:val="List Paragraph"/>
    <w:qFormat/>
  </w:style>
  <w:style w:type="character" w:styleId="Hyperlink">
    <w:name w:val="Hyperlink"/>
    <w:uiPriority w:val="99"/>
    <w:unhideWhenUsed/>
    <w:rPr>
      <w:color w:val="0563C1"/>
      <w:u w:val="single"/>
    </w:rPr>
  </w:style>
  <w:style w:type="character" w:styleId="Funotenzeichen">
    <w:name w:val="footnote reference"/>
    <w:uiPriority w:val="99"/>
    <w:semiHidden/>
    <w:unhideWhenUsed/>
    <w:rPr>
      <w:vertAlign w:val="superscript"/>
    </w:rPr>
  </w:style>
  <w:style w:type="paragraph" w:styleId="Funotentext">
    <w:name w:val="footnote text"/>
    <w:link w:val="FunotentextZchn"/>
    <w:uiPriority w:val="99"/>
    <w:semiHidden/>
    <w:unhideWhenUsed/>
    <w:rPr>
      <w:sz w:val="20"/>
      <w:szCs w:val="20"/>
    </w:rPr>
  </w:style>
  <w:style w:type="character" w:customStyle="1" w:styleId="FunotentextZchn">
    <w:name w:val="Fußnotentext Zchn"/>
    <w:link w:val="Funotentext"/>
    <w:uiPriority w:val="99"/>
    <w:semiHidden/>
    <w:unhideWhenUsed/>
    <w:rPr>
      <w:sz w:val="20"/>
      <w:szCs w:val="20"/>
    </w:rPr>
  </w:style>
  <w:style w:type="character" w:styleId="Endnotenzeichen">
    <w:name w:val="endnote reference"/>
    <w:uiPriority w:val="99"/>
    <w:semiHidden/>
    <w:unhideWhenUsed/>
    <w:rPr>
      <w:vertAlign w:val="superscript"/>
    </w:rPr>
  </w:style>
  <w:style w:type="paragraph" w:styleId="Endnotentext">
    <w:name w:val="endnote text"/>
    <w:link w:val="EndnotentextZchn"/>
    <w:uiPriority w:val="99"/>
    <w:semiHidden/>
    <w:unhideWhenUsed/>
    <w:rPr>
      <w:sz w:val="20"/>
      <w:szCs w:val="20"/>
    </w:rPr>
  </w:style>
  <w:style w:type="character" w:customStyle="1" w:styleId="EndnotentextZchn">
    <w:name w:val="Endnotentext Zchn"/>
    <w:link w:val="Endnoten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1404</Words>
  <Characters>8850</Characters>
  <Application>Microsoft Office Word</Application>
  <DocSecurity>0</DocSecurity>
  <Lines>73</Lines>
  <Paragraphs>20</Paragraphs>
  <ScaleCrop>false</ScaleCrop>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Maximilian Schmutz</cp:lastModifiedBy>
  <cp:revision>2</cp:revision>
  <dcterms:created xsi:type="dcterms:W3CDTF">2026-06-30T20:19:00Z</dcterms:created>
  <dcterms:modified xsi:type="dcterms:W3CDTF">2026-06-30T20:19:00Z</dcterms:modified>
</cp:coreProperties>
</file>